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E6B9A" w14:textId="1D84CFE3" w:rsidR="00C7722B" w:rsidRPr="00C7722B" w:rsidRDefault="00C7722B" w:rsidP="0026287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C7722B">
        <w:rPr>
          <w:rFonts w:ascii="Times New Roman" w:hAnsi="Times New Roman" w:cs="Times New Roman"/>
          <w:b/>
          <w:noProof/>
          <w:sz w:val="28"/>
          <w:szCs w:val="28"/>
        </w:rPr>
        <w:t>Asexual vs Sexual Reproduction</w:t>
      </w:r>
      <w:r w:rsidR="00262876">
        <w:rPr>
          <w:rFonts w:ascii="Times New Roman" w:hAnsi="Times New Roman" w:cs="Times New Roman"/>
          <w:b/>
          <w:noProof/>
          <w:sz w:val="28"/>
          <w:szCs w:val="28"/>
        </w:rPr>
        <w:tab/>
        <w:t>Name ____________________ # _____</w:t>
      </w:r>
      <w:bookmarkStart w:id="0" w:name="_GoBack"/>
      <w:bookmarkEnd w:id="0"/>
    </w:p>
    <w:p w14:paraId="27933546" w14:textId="3BA9417C" w:rsidR="00C7722B" w:rsidRPr="00C7722B" w:rsidRDefault="00C7722B" w:rsidP="00C7722B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DF3F7D" wp14:editId="369F0891">
            <wp:simplePos x="0" y="0"/>
            <wp:positionH relativeFrom="column">
              <wp:posOffset>-463550</wp:posOffset>
            </wp:positionH>
            <wp:positionV relativeFrom="paragraph">
              <wp:posOffset>1049655</wp:posOffset>
            </wp:positionV>
            <wp:extent cx="6921500" cy="3994150"/>
            <wp:effectExtent l="0" t="0" r="0" b="6350"/>
            <wp:wrapThrough wrapText="bothSides">
              <wp:wrapPolygon edited="0">
                <wp:start x="0" y="0"/>
                <wp:lineTo x="0" y="21531"/>
                <wp:lineTo x="21521" y="21531"/>
                <wp:lineTo x="215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22B">
        <w:rPr>
          <w:rFonts w:ascii="Times New Roman" w:hAnsi="Times New Roman" w:cs="Times New Roman"/>
          <w:noProof/>
          <w:sz w:val="24"/>
          <w:szCs w:val="24"/>
        </w:rPr>
        <w:t xml:space="preserve">In class, we looked at different strategies from several different organisms use to reproduce. Our goal now is to decide which strategy, asexual or sexual, we believe to be most advantageous.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To do this, we will be focusing on a species of lizard that lives here in North America called the whiptail lizard. As a group, you will read the short article below and answer some questions to find the most important details your group will focus on. </w:t>
      </w:r>
    </w:p>
    <w:p w14:paraId="7ABFDAE8" w14:textId="5E1255CB" w:rsidR="00C7722B" w:rsidRPr="00C7722B" w:rsidRDefault="00C7722B" w:rsidP="00C77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7722B">
        <w:rPr>
          <w:rFonts w:ascii="Times New Roman" w:hAnsi="Times New Roman" w:cs="Times New Roman"/>
        </w:rPr>
        <w:t>Why have scientists not found any male whiptail lizards?</w:t>
      </w:r>
    </w:p>
    <w:p w14:paraId="562EFABC" w14:textId="516AA03F" w:rsidR="00C7722B" w:rsidRDefault="00C7722B" w:rsidP="00C7722B">
      <w:pPr>
        <w:rPr>
          <w:rFonts w:ascii="Times New Roman" w:hAnsi="Times New Roman" w:cs="Times New Roman"/>
        </w:rPr>
      </w:pPr>
    </w:p>
    <w:p w14:paraId="02927811" w14:textId="581ECD86" w:rsidR="00C7722B" w:rsidRDefault="00C7722B" w:rsidP="00C77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chromosomes does an adult lizard have?</w:t>
      </w:r>
    </w:p>
    <w:p w14:paraId="38F6365F" w14:textId="77777777" w:rsidR="00C7722B" w:rsidRPr="00C7722B" w:rsidRDefault="00C7722B" w:rsidP="00C7722B">
      <w:pPr>
        <w:pStyle w:val="ListParagraph"/>
        <w:rPr>
          <w:rFonts w:ascii="Times New Roman" w:hAnsi="Times New Roman" w:cs="Times New Roman"/>
        </w:rPr>
      </w:pPr>
    </w:p>
    <w:p w14:paraId="30BF60ED" w14:textId="2B414D7F" w:rsidR="00C7722B" w:rsidRDefault="00C7722B" w:rsidP="00C7722B">
      <w:pPr>
        <w:rPr>
          <w:rFonts w:ascii="Times New Roman" w:hAnsi="Times New Roman" w:cs="Times New Roman"/>
        </w:rPr>
      </w:pPr>
    </w:p>
    <w:p w14:paraId="3FF69FEA" w14:textId="4297BC2F" w:rsidR="0081052B" w:rsidRDefault="003F019D" w:rsidP="00810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think asexual reproduction allows for genetic diversity?</w:t>
      </w:r>
    </w:p>
    <w:p w14:paraId="521B2E71" w14:textId="77777777" w:rsidR="003F019D" w:rsidRPr="003F019D" w:rsidRDefault="003F019D" w:rsidP="003F019D">
      <w:pPr>
        <w:rPr>
          <w:rFonts w:ascii="Times New Roman" w:hAnsi="Times New Roman" w:cs="Times New Roman"/>
        </w:rPr>
      </w:pPr>
    </w:p>
    <w:p w14:paraId="097AEC96" w14:textId="15E08D02" w:rsidR="0081052B" w:rsidRDefault="0081052B" w:rsidP="00810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advantage do whiptails lizards have over other species? Be specific. </w:t>
      </w:r>
    </w:p>
    <w:p w14:paraId="628E4E1B" w14:textId="25D2496B" w:rsidR="0081052B" w:rsidRDefault="0081052B" w:rsidP="0081052B">
      <w:pPr>
        <w:rPr>
          <w:rFonts w:ascii="Times New Roman" w:hAnsi="Times New Roman" w:cs="Times New Roman"/>
        </w:rPr>
      </w:pPr>
    </w:p>
    <w:p w14:paraId="0F576038" w14:textId="26130FB9" w:rsidR="0081052B" w:rsidRDefault="0081052B" w:rsidP="0081052B">
      <w:pPr>
        <w:rPr>
          <w:rFonts w:ascii="Times New Roman" w:hAnsi="Times New Roman" w:cs="Times New Roman"/>
        </w:rPr>
      </w:pPr>
    </w:p>
    <w:p w14:paraId="444EFBB5" w14:textId="0C377387" w:rsidR="0081052B" w:rsidRDefault="0081052B" w:rsidP="008105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advantage might other species have over the whiptails? Be specific. </w:t>
      </w:r>
    </w:p>
    <w:p w14:paraId="5C7FD136" w14:textId="09D3FCBB" w:rsidR="0081052B" w:rsidRDefault="0081052B" w:rsidP="003F019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Now, read some more background information about asexual and sexual reproduction. Your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336F3" wp14:editId="60199989">
                <wp:simplePos x="0" y="0"/>
                <wp:positionH relativeFrom="column">
                  <wp:posOffset>-120650</wp:posOffset>
                </wp:positionH>
                <wp:positionV relativeFrom="paragraph">
                  <wp:posOffset>400050</wp:posOffset>
                </wp:positionV>
                <wp:extent cx="5905500" cy="5016500"/>
                <wp:effectExtent l="19050" t="1905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016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787C9B" id="Rectangle 4" o:spid="_x0000_s1026" style="position:absolute;margin-left:-9.5pt;margin-top:31.5pt;width:465pt;height:3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TDgQIAAFYFAAAOAAAAZHJzL2Uyb0RvYy54bWysVEtv2zAMvg/YfxB0X+0EcR9GnSJIkWFA&#10;0RZNh55VWYoNSKImKXGyXz9KdtygLXYYdpFJkfz48Edd3+y1IjvhfAumopOznBJhONSt2VT05/Pq&#10;2yUlPjBTMwVGVPQgPL2Zf/1y3dlSTKEBVQtHEMT4srMVbUKwZZZ53gjN/BlYYdAowWkWUHWbrHas&#10;Q3Stsmmen2cduNo64MJ7vL3tjXSe8KUUPDxI6UUgqqJYW0inS+drPLP5NSs3jtmm5UMZ7B+q0Kw1&#10;mHSEumWBka1rP0DpljvwIMMZB52BlC0XqQfsZpK/62bdMCtSLzgcb8cx+f8Hy+93j460dUVnlBim&#10;8Rc94dCY2ShBZnE8nfUleq3toxs0j2LsdS+djl/sguzTSA/jSMU+EI6XxVVeFDlOnqOtyCfnUUGc&#10;7C3cOh++C9AkChV1mD6Nku3ufOhdjy4xm4FVqxTes1IZ0lV0ellcFAkzltoXl6RwUKJ3exISe8Ry&#10;pgk5sUsslSM7hrxgnAsTJr2pYbXor7HSsdYxIlWuDAJGZImVjNgDQGTuR+y+j8E/hopEzjE4/1th&#10;ffAYkTKDCWOwbg24zwAUdjVk7v2x/JPRRPEV6gMywEG/Gt7yVYv/4Y758Mgc7gL+O9zv8ICHVIDz&#10;hkGipAH3+7P76I8URSslHe5WRf2vLXOCEvXDIHmvJrNZXMakzIqLKSru1PJ6ajFbvQT8TRN8SSxP&#10;YvQP6ihKB/oFn4FFzIomZjjmrigP7qgsQ7/z+JBwsVgkN1xAy8KdWVseweNUI8+e9y/M2YGMAXl8&#10;D8c9ZOU7Tva+MdLAYhtAtomwb3Md5o3Lm4gzPDTxdTjVk9fbczj/AwAA//8DAFBLAwQUAAYACAAA&#10;ACEAt1VkDuEAAAAKAQAADwAAAGRycy9kb3ducmV2LnhtbEyPW0vDQBCF3wX/wzKCb+0mXnqJmRSx&#10;LRYEoa2Kj9NkTILZ3ZDdtNFf7/ikT3M7nPlOuhhMo47c+dpZhHgcgWKbu6K2JcLLfj2agfKBbEGN&#10;s4zwxR4W2flZSknhTnbLx10olZhYnxBCFUKbaO3zig35sWvZyu3DdYaCjF2pi45OYm4afRVFE22o&#10;tvKhopYfKs4/d71BoLfV8jW/Wa6/V5vt4/uUejJPz4iXF8P9HajAQ/gTwy++oEMmTAfX28KrBmEU&#10;zyVLQJhcSxXBPI6lOSDMbmWjs1T/j5D9AAAA//8DAFBLAQItABQABgAIAAAAIQC2gziS/gAAAOEB&#10;AAATAAAAAAAAAAAAAAAAAAAAAABbQ29udGVudF9UeXBlc10ueG1sUEsBAi0AFAAGAAgAAAAhADj9&#10;If/WAAAAlAEAAAsAAAAAAAAAAAAAAAAALwEAAF9yZWxzLy5yZWxzUEsBAi0AFAAGAAgAAAAhAFi3&#10;1MOBAgAAVgUAAA4AAAAAAAAAAAAAAAAALgIAAGRycy9lMm9Eb2MueG1sUEsBAi0AFAAGAAgAAAAh&#10;ALdVZA7hAAAACgEAAA8AAAAAAAAAAAAAAAAA2wQAAGRycy9kb3ducmV2LnhtbFBLBQYAAAAABAAE&#10;APMAAADpBQAAAAA=&#10;" filled="f" strokecolor="#1f3763 [1604]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group will use this information and what you have learned about whiptail lizards to </w:t>
      </w:r>
      <w:r>
        <w:rPr>
          <w:rFonts w:ascii="Times New Roman" w:hAnsi="Times New Roman" w:cs="Times New Roman"/>
          <w:b/>
        </w:rPr>
        <w:t>make a claim</w:t>
      </w:r>
      <w:r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CellSpacing w:w="0" w:type="dxa"/>
        <w:shd w:val="clear" w:color="auto" w:fill="F6F6F8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al table"/>
      </w:tblPr>
      <w:tblGrid>
        <w:gridCol w:w="9060"/>
        <w:gridCol w:w="300"/>
      </w:tblGrid>
      <w:tr w:rsidR="0081052B" w14:paraId="696E0036" w14:textId="77777777" w:rsidTr="0081052B">
        <w:trPr>
          <w:tblCellSpacing w:w="0" w:type="dxa"/>
        </w:trPr>
        <w:tc>
          <w:tcPr>
            <w:tcW w:w="10095" w:type="dxa"/>
            <w:shd w:val="clear" w:color="auto" w:fill="FFFFFF"/>
            <w:hideMark/>
          </w:tcPr>
          <w:p w14:paraId="736BC8FB" w14:textId="77777777" w:rsidR="0081052B" w:rsidRDefault="0081052B">
            <w:pPr>
              <w:pStyle w:val="backgrounder"/>
              <w:spacing w:line="210" w:lineRule="atLeast"/>
              <w:rPr>
                <w:rFonts w:ascii="Verdana" w:hAnsi="Verdana"/>
                <w:color w:val="000066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66"/>
                <w:sz w:val="17"/>
                <w:szCs w:val="17"/>
              </w:rPr>
              <w:t>Asexual Reproducers:</w:t>
            </w:r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14:paraId="090A410B" w14:textId="4235D67D" w:rsidR="0081052B" w:rsidRDefault="0081052B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0475D30A" wp14:editId="1BDE8234">
                  <wp:extent cx="190500" cy="6350"/>
                  <wp:effectExtent l="0" t="0" r="0" b="0"/>
                  <wp:docPr id="3" name="Pictur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52B" w14:paraId="4C5D4E53" w14:textId="77777777" w:rsidTr="0081052B">
        <w:trPr>
          <w:trHeight w:val="30"/>
          <w:tblCellSpacing w:w="0" w:type="dxa"/>
        </w:trPr>
        <w:tc>
          <w:tcPr>
            <w:tcW w:w="10095" w:type="dxa"/>
            <w:shd w:val="clear" w:color="auto" w:fill="FFFFFF"/>
            <w:vAlign w:val="center"/>
            <w:hideMark/>
          </w:tcPr>
          <w:p w14:paraId="3C0B00D1" w14:textId="44E8A915" w:rsidR="0081052B" w:rsidRDefault="0081052B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72DCF05" wp14:editId="3A9D7044">
                  <wp:extent cx="6350" cy="25400"/>
                  <wp:effectExtent l="0" t="0" r="0" b="0"/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6F6F8"/>
            <w:vAlign w:val="center"/>
            <w:hideMark/>
          </w:tcPr>
          <w:p w14:paraId="0D2B2CAB" w14:textId="77777777" w:rsidR="0081052B" w:rsidRDefault="0081052B">
            <w:pPr>
              <w:rPr>
                <w:color w:val="000000"/>
                <w:sz w:val="27"/>
                <w:szCs w:val="27"/>
              </w:rPr>
            </w:pPr>
          </w:p>
        </w:tc>
      </w:tr>
      <w:tr w:rsidR="0081052B" w14:paraId="4938FE24" w14:textId="77777777" w:rsidTr="0081052B">
        <w:trPr>
          <w:tblCellSpacing w:w="0" w:type="dxa"/>
        </w:trPr>
        <w:tc>
          <w:tcPr>
            <w:tcW w:w="10095" w:type="dxa"/>
            <w:shd w:val="clear" w:color="auto" w:fill="FFFFFF"/>
            <w:hideMark/>
          </w:tcPr>
          <w:p w14:paraId="32929474" w14:textId="77777777" w:rsidR="0081052B" w:rsidRDefault="0081052B">
            <w:pPr>
              <w:pStyle w:val="backgrounder"/>
              <w:spacing w:line="210" w:lineRule="atLeast"/>
              <w:rPr>
                <w:rFonts w:ascii="Verdana" w:hAnsi="Verdana"/>
                <w:color w:val="000066"/>
                <w:sz w:val="17"/>
                <w:szCs w:val="17"/>
              </w:rPr>
            </w:pPr>
            <w:r>
              <w:rPr>
                <w:rFonts w:ascii="Verdana" w:hAnsi="Verdana"/>
                <w:color w:val="000066"/>
                <w:sz w:val="17"/>
                <w:szCs w:val="17"/>
              </w:rPr>
              <w:t>For most living things, sexual reproduction has proven the best overall strategy to perpetuate a species in the rough-and-tumble, unpredictable fray of </w:t>
            </w:r>
            <w:hyperlink r:id="rId7" w:anchor="natural_selection" w:tgtFrame="gloss" w:history="1">
              <w:r>
                <w:rPr>
                  <w:rStyle w:val="Hyperlink"/>
                  <w:rFonts w:ascii="Verdana" w:hAnsi="Verdana"/>
                  <w:color w:val="675072"/>
                  <w:sz w:val="17"/>
                  <w:szCs w:val="17"/>
                </w:rPr>
                <w:t>natural selection</w:t>
              </w:r>
            </w:hyperlink>
            <w:r>
              <w:rPr>
                <w:rFonts w:ascii="Verdana" w:hAnsi="Verdana"/>
                <w:color w:val="000066"/>
                <w:sz w:val="17"/>
                <w:szCs w:val="17"/>
              </w:rPr>
              <w:t>. With two partners combining varied </w:t>
            </w:r>
            <w:hyperlink r:id="rId8" w:anchor="gene" w:tgtFrame="gloss" w:history="1">
              <w:r>
                <w:rPr>
                  <w:rStyle w:val="Hyperlink"/>
                  <w:rFonts w:ascii="Verdana" w:hAnsi="Verdana"/>
                  <w:color w:val="675072"/>
                  <w:sz w:val="17"/>
                  <w:szCs w:val="17"/>
                </w:rPr>
                <w:t>genes</w:t>
              </w:r>
            </w:hyperlink>
            <w:r>
              <w:rPr>
                <w:rFonts w:ascii="Verdana" w:hAnsi="Verdana"/>
                <w:color w:val="000066"/>
                <w:sz w:val="17"/>
                <w:szCs w:val="17"/>
              </w:rPr>
              <w:t>, a species has more flexibility to adapt to changing environments. </w:t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  <w:t>There are, however, rare examples of </w:t>
            </w:r>
            <w:hyperlink r:id="rId9" w:anchor="asexual_reproduction" w:tgtFrame="gloss" w:history="1">
              <w:r>
                <w:rPr>
                  <w:rStyle w:val="Hyperlink"/>
                  <w:rFonts w:ascii="Verdana" w:hAnsi="Verdana"/>
                  <w:color w:val="675072"/>
                  <w:sz w:val="17"/>
                  <w:szCs w:val="17"/>
                </w:rPr>
                <w:t>asexual</w:t>
              </w:r>
            </w:hyperlink>
            <w:r>
              <w:rPr>
                <w:rFonts w:ascii="Verdana" w:hAnsi="Verdana"/>
                <w:color w:val="000066"/>
                <w:sz w:val="17"/>
                <w:szCs w:val="17"/>
              </w:rPr>
              <w:t> species that reproduce by cloning. Each offspring is genetically identical to the parent, with little variation generation after generation. (</w:t>
            </w:r>
            <w:hyperlink r:id="rId10" w:anchor="mutation" w:tgtFrame="gloss" w:history="1">
              <w:r>
                <w:rPr>
                  <w:rStyle w:val="Hyperlink"/>
                  <w:rFonts w:ascii="Verdana" w:hAnsi="Verdana"/>
                  <w:color w:val="675072"/>
                  <w:sz w:val="17"/>
                  <w:szCs w:val="17"/>
                </w:rPr>
                <w:t>Mutations</w:t>
              </w:r>
            </w:hyperlink>
            <w:r>
              <w:rPr>
                <w:rFonts w:ascii="Verdana" w:hAnsi="Verdana"/>
                <w:color w:val="000066"/>
                <w:sz w:val="17"/>
                <w:szCs w:val="17"/>
              </w:rPr>
              <w:t> do create a minor amount of change.) </w:t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  <w:t>If asexual reproduction survives at all, conditions must sometimes favor it, even in competition for a niche with sexually reproducing species. Some insects, like aphids, are both asexual and sexual reproducers. Though rare, those species that reproduce asexually tend to persist. </w:t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  <w:t>Efficiency, for one thing, is on the side of asexual organisms: Without the need for males, every </w:t>
            </w:r>
            <w:hyperlink r:id="rId11" w:anchor="clone" w:tgtFrame="gloss" w:history="1">
              <w:r>
                <w:rPr>
                  <w:rStyle w:val="Hyperlink"/>
                  <w:rFonts w:ascii="Verdana" w:hAnsi="Verdana"/>
                  <w:color w:val="675072"/>
                  <w:sz w:val="17"/>
                  <w:szCs w:val="17"/>
                </w:rPr>
                <w:t>clonal</w:t>
              </w:r>
            </w:hyperlink>
            <w:r>
              <w:rPr>
                <w:rFonts w:ascii="Verdana" w:hAnsi="Verdana"/>
                <w:color w:val="000066"/>
                <w:sz w:val="17"/>
                <w:szCs w:val="17"/>
              </w:rPr>
              <w:t> individual passes a full set of identical genes onto the next generation. In addition, a single female can establish a new population. This gives asexual creatures on the fringes of a habitat an edge in colonizing a new one. </w:t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  <w:t>Clonal organisms with tolerance for a broad range of conditions also exist. Even if they do not vary much genetically, they possess what scientists have dubbed "general-purpose </w:t>
            </w:r>
            <w:hyperlink r:id="rId12" w:anchor="genotype" w:tgtFrame="gloss" w:history="1">
              <w:r>
                <w:rPr>
                  <w:rStyle w:val="Hyperlink"/>
                  <w:rFonts w:ascii="Verdana" w:hAnsi="Verdana"/>
                  <w:color w:val="675072"/>
                  <w:sz w:val="17"/>
                  <w:szCs w:val="17"/>
                </w:rPr>
                <w:t>genotypes</w:t>
              </w:r>
            </w:hyperlink>
            <w:r>
              <w:rPr>
                <w:rFonts w:ascii="Verdana" w:hAnsi="Verdana"/>
                <w:color w:val="000066"/>
                <w:sz w:val="17"/>
                <w:szCs w:val="17"/>
              </w:rPr>
              <w:t>." One example is a type of minnow found in Minnesota that tolerates both highly oxygenated and poorly oxygenated waters. Able to survive in an unpredictable environment, this minnow outlasts more specialized strains. </w:t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  <w:t>Asexual animals arose from diversified sexually reproducing ancestors. Often they are hybrids between two different species, and may possess two complete sets of chromosomes. </w:t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  <w:t>One such asexual organism is the whiptail lizard in the U.S. Southwest, Mexico, and South America, which consists only of females who reproduce by </w:t>
            </w:r>
            <w:hyperlink r:id="rId13" w:anchor="parthenogenesis" w:tgtFrame="gloss" w:history="1">
              <w:r>
                <w:rPr>
                  <w:rStyle w:val="Hyperlink"/>
                  <w:rFonts w:ascii="Verdana" w:hAnsi="Verdana"/>
                  <w:color w:val="675072"/>
                  <w:sz w:val="17"/>
                  <w:szCs w:val="17"/>
                </w:rPr>
                <w:t>parthenogenesis</w:t>
              </w:r>
            </w:hyperlink>
            <w:r>
              <w:rPr>
                <w:rFonts w:ascii="Verdana" w:hAnsi="Verdana"/>
                <w:color w:val="000066"/>
                <w:sz w:val="17"/>
                <w:szCs w:val="17"/>
              </w:rPr>
              <w:t>. They appear to be the only known unisexual reptile. </w:t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66"/>
                <w:sz w:val="17"/>
                <w:szCs w:val="17"/>
              </w:rPr>
              <w:br/>
              <w:t>Clones generally hit a dead end, going extinct when their limited variation collides with changing environmental conditions or with better-surviving sexual reproducers. With their unusual way of reproducing, they continue to fascinate scientists because they are natural experiments in interactions between fixed genotypes and varying environment.</w:t>
            </w:r>
          </w:p>
        </w:tc>
        <w:tc>
          <w:tcPr>
            <w:tcW w:w="0" w:type="auto"/>
            <w:vMerge/>
            <w:shd w:val="clear" w:color="auto" w:fill="F6F6F8"/>
            <w:vAlign w:val="center"/>
            <w:hideMark/>
          </w:tcPr>
          <w:p w14:paraId="3C55F8DD" w14:textId="77777777" w:rsidR="0081052B" w:rsidRDefault="0081052B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004FCB2C" w14:textId="5123F75B" w:rsidR="0081052B" w:rsidRDefault="0081052B" w:rsidP="0081052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08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4"/>
        <w:gridCol w:w="5325"/>
      </w:tblGrid>
      <w:tr w:rsidR="000207DE" w14:paraId="687D758F" w14:textId="77777777" w:rsidTr="000207DE">
        <w:trPr>
          <w:trHeight w:val="465"/>
        </w:trPr>
        <w:tc>
          <w:tcPr>
            <w:tcW w:w="9869" w:type="dxa"/>
            <w:gridSpan w:val="2"/>
          </w:tcPr>
          <w:p w14:paraId="2209AEA3" w14:textId="11C0F997" w:rsidR="000207DE" w:rsidRDefault="000207DE" w:rsidP="00020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Claim: ________________ reproduction is the most advantageous.</w:t>
            </w:r>
          </w:p>
        </w:tc>
      </w:tr>
      <w:tr w:rsidR="000207DE" w14:paraId="5B0E4898" w14:textId="77777777" w:rsidTr="000207DE">
        <w:trPr>
          <w:trHeight w:val="1957"/>
        </w:trPr>
        <w:tc>
          <w:tcPr>
            <w:tcW w:w="4544" w:type="dxa"/>
          </w:tcPr>
          <w:p w14:paraId="3013E0B1" w14:textId="73BEBBCD" w:rsidR="000207DE" w:rsidRDefault="000207DE" w:rsidP="00020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Evidence: Direct quotes from both articles.</w:t>
            </w:r>
          </w:p>
        </w:tc>
        <w:tc>
          <w:tcPr>
            <w:tcW w:w="5324" w:type="dxa"/>
          </w:tcPr>
          <w:p w14:paraId="059FB5CE" w14:textId="5E94BB5E" w:rsidR="000207DE" w:rsidRPr="000207DE" w:rsidRDefault="000207DE" w:rsidP="000207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Why the information in the quote shows why that type of reproduction is the most advantageous.</w:t>
            </w:r>
          </w:p>
        </w:tc>
      </w:tr>
    </w:tbl>
    <w:p w14:paraId="6BD54F0C" w14:textId="1AC41456" w:rsidR="0081052B" w:rsidRPr="000207DE" w:rsidRDefault="0081052B" w:rsidP="00810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task now is to, as a group, decide whether sexual or asexual reproduction is the </w:t>
      </w:r>
      <w:r>
        <w:rPr>
          <w:rFonts w:ascii="Times New Roman" w:hAnsi="Times New Roman" w:cs="Times New Roman"/>
          <w:i/>
        </w:rPr>
        <w:t xml:space="preserve">most </w:t>
      </w:r>
      <w:r>
        <w:rPr>
          <w:rFonts w:ascii="Times New Roman" w:hAnsi="Times New Roman" w:cs="Times New Roman"/>
        </w:rPr>
        <w:t xml:space="preserve">advantageous. To do this, you will create a Claim-Evidence-Reasoning chart like the one shown below on your piece of butcher paper. Your claim should use the sentence frame below. All of your evidence should be </w:t>
      </w:r>
      <w:r>
        <w:rPr>
          <w:rFonts w:ascii="Times New Roman" w:hAnsi="Times New Roman" w:cs="Times New Roman"/>
          <w:b/>
        </w:rPr>
        <w:t>direct quotes</w:t>
      </w:r>
      <w:r>
        <w:rPr>
          <w:rFonts w:ascii="Times New Roman" w:hAnsi="Times New Roman" w:cs="Times New Roman"/>
        </w:rPr>
        <w:t xml:space="preserve"> </w:t>
      </w:r>
      <w:r w:rsidR="000207DE">
        <w:rPr>
          <w:rFonts w:ascii="Times New Roman" w:hAnsi="Times New Roman" w:cs="Times New Roman"/>
        </w:rPr>
        <w:t xml:space="preserve">from </w:t>
      </w:r>
      <w:r w:rsidR="000207DE">
        <w:rPr>
          <w:rFonts w:ascii="Times New Roman" w:hAnsi="Times New Roman" w:cs="Times New Roman"/>
          <w:b/>
        </w:rPr>
        <w:t>both</w:t>
      </w:r>
      <w:r w:rsidR="000207DE">
        <w:rPr>
          <w:rFonts w:ascii="Times New Roman" w:hAnsi="Times New Roman" w:cs="Times New Roman"/>
        </w:rPr>
        <w:t xml:space="preserve"> the whiptail article and background information above. The reasoning should be </w:t>
      </w:r>
      <w:r w:rsidR="000207DE">
        <w:rPr>
          <w:rFonts w:ascii="Times New Roman" w:hAnsi="Times New Roman" w:cs="Times New Roman"/>
          <w:i/>
        </w:rPr>
        <w:t>why</w:t>
      </w:r>
      <w:r w:rsidR="000207DE">
        <w:rPr>
          <w:rFonts w:ascii="Times New Roman" w:hAnsi="Times New Roman" w:cs="Times New Roman"/>
        </w:rPr>
        <w:t xml:space="preserve"> the quotes show that your form of reproduction is the best. </w:t>
      </w:r>
    </w:p>
    <w:sectPr w:rsidR="0081052B" w:rsidRPr="0002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65AF9"/>
    <w:multiLevelType w:val="hybridMultilevel"/>
    <w:tmpl w:val="2138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D1971"/>
    <w:multiLevelType w:val="hybridMultilevel"/>
    <w:tmpl w:val="5EF07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2B"/>
    <w:rsid w:val="000207DE"/>
    <w:rsid w:val="000F14D1"/>
    <w:rsid w:val="00262876"/>
    <w:rsid w:val="003F019D"/>
    <w:rsid w:val="00547E0C"/>
    <w:rsid w:val="0076644B"/>
    <w:rsid w:val="0081052B"/>
    <w:rsid w:val="00B90182"/>
    <w:rsid w:val="00C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A9E6"/>
  <w15:chartTrackingRefBased/>
  <w15:docId w15:val="{8BCB22E2-7980-4563-ADFE-D29D365D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2B"/>
    <w:pPr>
      <w:ind w:left="720"/>
      <w:contextualSpacing/>
    </w:pPr>
  </w:style>
  <w:style w:type="paragraph" w:customStyle="1" w:styleId="backgrounder">
    <w:name w:val="backgrounder"/>
    <w:basedOn w:val="Normal"/>
    <w:rsid w:val="0081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0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evolution/library/glossary/glossary.html" TargetMode="External"/><Relationship Id="rId13" Type="http://schemas.openxmlformats.org/officeDocument/2006/relationships/hyperlink" Target="http://www.pbs.org/wgbh/evolution/library/glossary/gloss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wgbh/evolution/library/glossary/glossary.html" TargetMode="External"/><Relationship Id="rId12" Type="http://schemas.openxmlformats.org/officeDocument/2006/relationships/hyperlink" Target="http://www.pbs.org/wgbh/evolution/library/glossary/gloss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pbs.org/wgbh/evolution/library/glossary/glossary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bs.org/wgbh/evolution/library/glossary/gloss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evolution/library/glossary/glossa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Bliss</dc:creator>
  <cp:keywords/>
  <dc:description/>
  <cp:lastModifiedBy>Susan Phillips</cp:lastModifiedBy>
  <cp:revision>3</cp:revision>
  <dcterms:created xsi:type="dcterms:W3CDTF">2018-02-13T13:54:00Z</dcterms:created>
  <dcterms:modified xsi:type="dcterms:W3CDTF">2018-02-28T00:39:00Z</dcterms:modified>
</cp:coreProperties>
</file>