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825F061" w14:textId="3836055A" w:rsidR="0028042C" w:rsidRDefault="00DE2ACC">
      <w:pPr>
        <w:pStyle w:val="Heading3"/>
      </w:pPr>
      <w:bookmarkStart w:id="0" w:name="_v0cbric9c2c" w:colFirst="0" w:colLast="0"/>
      <w:bookmarkEnd w:id="0"/>
      <w:r w:rsidRPr="000E6F85">
        <w:rPr>
          <w:sz w:val="24"/>
          <w:szCs w:val="24"/>
        </w:rPr>
        <w:t xml:space="preserve">Cystic Fibrosis </w:t>
      </w:r>
      <w:r w:rsidR="000E6F85">
        <w:rPr>
          <w:sz w:val="24"/>
          <w:szCs w:val="24"/>
        </w:rPr>
        <w:t>&amp;</w:t>
      </w:r>
      <w:r w:rsidRPr="000E6F85">
        <w:rPr>
          <w:sz w:val="24"/>
          <w:szCs w:val="24"/>
        </w:rPr>
        <w:t xml:space="preserve"> Protein Synthesis</w:t>
      </w:r>
      <w:r w:rsidR="000E6F85">
        <w:rPr>
          <w:sz w:val="24"/>
          <w:szCs w:val="24"/>
        </w:rPr>
        <w:t>-Case Study</w:t>
      </w:r>
      <w:r>
        <w:tab/>
      </w:r>
      <w:r w:rsidRPr="00DE2ACC">
        <w:rPr>
          <w:sz w:val="20"/>
          <w:szCs w:val="20"/>
        </w:rPr>
        <w:t>Name____</w:t>
      </w:r>
      <w:r>
        <w:rPr>
          <w:sz w:val="20"/>
          <w:szCs w:val="20"/>
        </w:rPr>
        <w:t xml:space="preserve">___________________ </w:t>
      </w:r>
      <w:proofErr w:type="spellStart"/>
      <w:r>
        <w:rPr>
          <w:sz w:val="20"/>
          <w:szCs w:val="20"/>
        </w:rPr>
        <w:t>Blk</w:t>
      </w:r>
      <w:proofErr w:type="spellEnd"/>
      <w:r>
        <w:rPr>
          <w:sz w:val="20"/>
          <w:szCs w:val="20"/>
        </w:rPr>
        <w:t xml:space="preserve"> _____ # _____</w:t>
      </w:r>
      <w:bookmarkStart w:id="1" w:name="_GoBack"/>
      <w:bookmarkEnd w:id="1"/>
    </w:p>
    <w:p w14:paraId="32837422" w14:textId="77777777" w:rsidR="0028042C" w:rsidRDefault="00DE2ACC">
      <w:pPr>
        <w:pStyle w:val="Heading4"/>
      </w:pPr>
      <w:bookmarkStart w:id="2" w:name="_ekgh0qatawi9" w:colFirst="0" w:colLast="0"/>
      <w:bookmarkEnd w:id="2"/>
      <w:r>
        <w:t>Introduction</w:t>
      </w:r>
    </w:p>
    <w:p w14:paraId="780B0D59" w14:textId="77777777" w:rsidR="0028042C" w:rsidRDefault="00DE2ACC">
      <w:r>
        <w:t xml:space="preserve">Cystic fibrosis is </w:t>
      </w:r>
      <w:proofErr w:type="spellStart"/>
      <w:proofErr w:type="gramStart"/>
      <w:r>
        <w:t>a</w:t>
      </w:r>
      <w:proofErr w:type="spellEnd"/>
      <w:proofErr w:type="gramEnd"/>
      <w:r>
        <w:t xml:space="preserve"> inherited disease that is marked by the buildup of thick, sticky mucus that can damage the lungs and many other organs. Cystic fibrosis affects the viscosity of the mucus lining of the lungs. Mucus is a collection of many substances including enzymes, proteins and mucins. In the lungs, specialized cells called Goblet cells help produce mucus. The lung tissues keep the mucus hydrated and moving. The mucus also traps bacteria and particulates and flushes them out of the lungs to avoid infection. In a person with Cystic Fibrosis, mucus becomes dehydrated and thick. Bacteria and particles get trapped and lead to infection. </w:t>
      </w:r>
      <w:r>
        <w:br/>
        <w:t>These infections cause chronic coughing, wheezing, and inflammation. Over time, mucus buildup and infections result in permanent lung damage</w:t>
      </w:r>
      <w:r>
        <w:rPr>
          <w:vertAlign w:val="superscript"/>
        </w:rPr>
        <w:footnoteReference w:id="1"/>
      </w:r>
      <w:r>
        <w:t>.</w:t>
      </w:r>
    </w:p>
    <w:p w14:paraId="5B0BF6BB" w14:textId="77777777" w:rsidR="0028042C" w:rsidRDefault="00DE2ACC">
      <w:pPr>
        <w:pStyle w:val="Heading4"/>
      </w:pPr>
      <w:bookmarkStart w:id="3" w:name="_57px1taw0oj9" w:colFirst="0" w:colLast="0"/>
      <w:bookmarkEnd w:id="3"/>
      <w:r>
        <w:t>CFTR</w:t>
      </w:r>
    </w:p>
    <w:p w14:paraId="7505573F" w14:textId="77777777" w:rsidR="0028042C" w:rsidRDefault="00DE2ACC">
      <w:pPr>
        <w:spacing w:line="240" w:lineRule="auto"/>
        <w:rPr>
          <w:color w:val="202020"/>
        </w:rPr>
      </w:pPr>
      <w:r>
        <w:rPr>
          <w:highlight w:val="white"/>
        </w:rPr>
        <w:t xml:space="preserve">CFTR gene is found on human </w:t>
      </w:r>
      <w:hyperlink r:id="rId7">
        <w:r>
          <w:rPr>
            <w:color w:val="1155CC"/>
            <w:highlight w:val="white"/>
            <w:u w:val="single"/>
          </w:rPr>
          <w:t>chromosome 7</w:t>
        </w:r>
      </w:hyperlink>
      <w:r>
        <w:rPr>
          <w:highlight w:val="white"/>
        </w:rPr>
        <w:t xml:space="preserve"> and the gene is 4400 nucleotides in length. CFTR gene produces CFTR protein. In the human body, it </w:t>
      </w:r>
      <w:r>
        <w:rPr>
          <w:color w:val="202020"/>
        </w:rPr>
        <w:t xml:space="preserve">functions as a channel across the membrane of cells that produce mucus, sweat, saliva, tears, and digestive enzymes. In the lungs, the membrane channel transports negatively charged chloride ions into and out of cells. The transport of chloride ions helps control the movement of water in tissues, which is necessary </w:t>
      </w:r>
      <w:proofErr w:type="gramStart"/>
      <w:r>
        <w:rPr>
          <w:color w:val="202020"/>
        </w:rPr>
        <w:t>for the production of</w:t>
      </w:r>
      <w:proofErr w:type="gramEnd"/>
      <w:r>
        <w:rPr>
          <w:color w:val="202020"/>
        </w:rPr>
        <w:t xml:space="preserve"> thin, freely flowing mucus</w:t>
      </w:r>
      <w:r>
        <w:rPr>
          <w:color w:val="202020"/>
          <w:vertAlign w:val="superscript"/>
        </w:rPr>
        <w:footnoteReference w:id="2"/>
      </w:r>
      <w:r>
        <w:rPr>
          <w:color w:val="202020"/>
        </w:rPr>
        <w:t xml:space="preserve">. </w:t>
      </w:r>
    </w:p>
    <w:p w14:paraId="68F0FAA1" w14:textId="77777777" w:rsidR="0028042C" w:rsidRDefault="00DE2ACC">
      <w:pPr>
        <w:spacing w:line="240" w:lineRule="auto"/>
      </w:pPr>
      <w:r>
        <w:br/>
      </w:r>
      <w:r>
        <w:rPr>
          <w:noProof/>
        </w:rPr>
        <w:drawing>
          <wp:anchor distT="114300" distB="114300" distL="114300" distR="114300" simplePos="0" relativeHeight="251658240" behindDoc="0" locked="0" layoutInCell="1" hidden="0" allowOverlap="1" wp14:anchorId="710AE95E" wp14:editId="4AA7BFD9">
            <wp:simplePos x="0" y="0"/>
            <wp:positionH relativeFrom="margin">
              <wp:posOffset>-114299</wp:posOffset>
            </wp:positionH>
            <wp:positionV relativeFrom="paragraph">
              <wp:posOffset>228600</wp:posOffset>
            </wp:positionV>
            <wp:extent cx="5900351" cy="2728913"/>
            <wp:effectExtent l="12700" t="12700" r="12700" b="12700"/>
            <wp:wrapSquare wrapText="bothSides" distT="114300" distB="114300" distL="114300" distR="11430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900351" cy="2728913"/>
                    </a:xfrm>
                    <a:prstGeom prst="rect">
                      <a:avLst/>
                    </a:prstGeom>
                    <a:ln w="12700">
                      <a:solidFill>
                        <a:srgbClr val="000000"/>
                      </a:solidFill>
                      <a:prstDash val="solid"/>
                    </a:ln>
                  </pic:spPr>
                </pic:pic>
              </a:graphicData>
            </a:graphic>
          </wp:anchor>
        </w:drawing>
      </w:r>
    </w:p>
    <w:p w14:paraId="7FCBDE4E" w14:textId="77777777" w:rsidR="0028042C" w:rsidRDefault="00DE2ACC">
      <w:pPr>
        <w:spacing w:line="240" w:lineRule="auto"/>
      </w:pPr>
      <w:r>
        <w:br/>
      </w:r>
      <w:r>
        <w:br/>
      </w:r>
    </w:p>
    <w:p w14:paraId="4B1C6526" w14:textId="77777777" w:rsidR="0028042C" w:rsidRDefault="0028042C">
      <w:pPr>
        <w:spacing w:line="240" w:lineRule="auto"/>
      </w:pPr>
    </w:p>
    <w:p w14:paraId="1B6144BD" w14:textId="77777777" w:rsidR="0028042C" w:rsidRDefault="0028042C">
      <w:pPr>
        <w:spacing w:line="240" w:lineRule="auto"/>
      </w:pPr>
    </w:p>
    <w:p w14:paraId="7D96C9A5" w14:textId="77777777" w:rsidR="0028042C" w:rsidRDefault="0028042C">
      <w:pPr>
        <w:spacing w:line="240" w:lineRule="auto"/>
      </w:pPr>
    </w:p>
    <w:p w14:paraId="1CC2A79E" w14:textId="77777777" w:rsidR="0028042C" w:rsidRDefault="0028042C">
      <w:pPr>
        <w:spacing w:line="240" w:lineRule="auto"/>
      </w:pPr>
    </w:p>
    <w:p w14:paraId="72A528CB" w14:textId="77777777" w:rsidR="0028042C" w:rsidRDefault="0028042C">
      <w:pPr>
        <w:spacing w:line="240" w:lineRule="auto"/>
      </w:pPr>
    </w:p>
    <w:p w14:paraId="451AF021" w14:textId="77777777" w:rsidR="0028042C" w:rsidRDefault="0028042C">
      <w:pPr>
        <w:spacing w:line="240" w:lineRule="auto"/>
      </w:pPr>
    </w:p>
    <w:p w14:paraId="357AE98C" w14:textId="77777777" w:rsidR="0028042C" w:rsidRDefault="0028042C">
      <w:pPr>
        <w:spacing w:line="240" w:lineRule="auto"/>
      </w:pPr>
    </w:p>
    <w:p w14:paraId="475E653E" w14:textId="77777777" w:rsidR="0028042C" w:rsidRDefault="0028042C">
      <w:pPr>
        <w:spacing w:line="240" w:lineRule="auto"/>
      </w:pPr>
    </w:p>
    <w:p w14:paraId="0B5EDD02" w14:textId="77777777" w:rsidR="0028042C" w:rsidRDefault="0028042C">
      <w:pPr>
        <w:spacing w:line="240" w:lineRule="auto"/>
      </w:pPr>
    </w:p>
    <w:p w14:paraId="51515544" w14:textId="77777777" w:rsidR="0028042C" w:rsidRDefault="0028042C">
      <w:pPr>
        <w:spacing w:line="240" w:lineRule="auto"/>
      </w:pPr>
    </w:p>
    <w:p w14:paraId="3840ECBE" w14:textId="77777777" w:rsidR="0028042C" w:rsidRDefault="0028042C">
      <w:pPr>
        <w:spacing w:line="240" w:lineRule="auto"/>
      </w:pPr>
    </w:p>
    <w:p w14:paraId="2DC7031A" w14:textId="77777777" w:rsidR="0028042C" w:rsidRDefault="0028042C">
      <w:pPr>
        <w:spacing w:line="240" w:lineRule="auto"/>
      </w:pPr>
    </w:p>
    <w:p w14:paraId="46CEBA43" w14:textId="77777777" w:rsidR="0028042C" w:rsidRDefault="0028042C">
      <w:pPr>
        <w:spacing w:line="240" w:lineRule="auto"/>
      </w:pPr>
    </w:p>
    <w:p w14:paraId="03CC7090" w14:textId="77777777" w:rsidR="0028042C" w:rsidRDefault="0028042C">
      <w:pPr>
        <w:spacing w:line="240" w:lineRule="auto"/>
      </w:pPr>
    </w:p>
    <w:p w14:paraId="5506FE15" w14:textId="77777777" w:rsidR="0028042C" w:rsidRDefault="00DE2ACC">
      <w:pPr>
        <w:spacing w:line="240" w:lineRule="auto"/>
      </w:pPr>
      <w:r>
        <w:t>Figure 1: Normal and mutated versions of the CFTR structure and function</w:t>
      </w:r>
      <w:r>
        <w:rPr>
          <w:vertAlign w:val="superscript"/>
        </w:rPr>
        <w:footnoteReference w:id="3"/>
      </w:r>
      <w:r>
        <w:t xml:space="preserve">. </w:t>
      </w:r>
    </w:p>
    <w:p w14:paraId="084E4732" w14:textId="77777777" w:rsidR="0028042C" w:rsidRDefault="0028042C">
      <w:pPr>
        <w:spacing w:line="240" w:lineRule="auto"/>
      </w:pPr>
    </w:p>
    <w:p w14:paraId="3E0DFB4B" w14:textId="77777777" w:rsidR="0028042C" w:rsidRDefault="00DE2ACC">
      <w:pPr>
        <w:spacing w:line="240" w:lineRule="auto"/>
      </w:pPr>
      <w:r>
        <w:t>In cells from non-CF (Cystic Fibrosis) individuals, the chloride channels open periodically to allow the cell to maintain a normal balance of chloride ion between the inside and outside of the cell. In CF individuals, these chloride channels do not function, and chloride ions build up inside the cell.</w:t>
      </w:r>
    </w:p>
    <w:p w14:paraId="396E3394" w14:textId="77777777" w:rsidR="0028042C" w:rsidRDefault="0028042C">
      <w:pPr>
        <w:spacing w:line="240" w:lineRule="auto"/>
      </w:pPr>
    </w:p>
    <w:p w14:paraId="53BD8B9B" w14:textId="77777777" w:rsidR="0028042C" w:rsidRDefault="0028042C">
      <w:pPr>
        <w:spacing w:line="240" w:lineRule="auto"/>
      </w:pPr>
    </w:p>
    <w:p w14:paraId="29A1A728" w14:textId="77777777" w:rsidR="0028042C" w:rsidRDefault="0028042C">
      <w:pPr>
        <w:spacing w:line="240" w:lineRule="auto"/>
        <w:jc w:val="center"/>
        <w:rPr>
          <w:b/>
        </w:rPr>
      </w:pPr>
    </w:p>
    <w:p w14:paraId="399667F2" w14:textId="77777777" w:rsidR="0028042C" w:rsidRDefault="00DE2ACC">
      <w:pPr>
        <w:spacing w:line="240" w:lineRule="auto"/>
        <w:jc w:val="center"/>
      </w:pPr>
      <w:r>
        <w:rPr>
          <w:b/>
          <w:noProof/>
        </w:rPr>
        <w:drawing>
          <wp:inline distT="114300" distB="114300" distL="114300" distR="114300" wp14:anchorId="2077B5AF" wp14:editId="2B81C9DA">
            <wp:extent cx="5900738" cy="2466836"/>
            <wp:effectExtent l="12700" t="12700" r="12700" b="1270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900738" cy="2466836"/>
                    </a:xfrm>
                    <a:prstGeom prst="rect">
                      <a:avLst/>
                    </a:prstGeom>
                    <a:ln w="12700">
                      <a:solidFill>
                        <a:srgbClr val="000000"/>
                      </a:solidFill>
                      <a:prstDash val="solid"/>
                    </a:ln>
                  </pic:spPr>
                </pic:pic>
              </a:graphicData>
            </a:graphic>
          </wp:inline>
        </w:drawing>
      </w:r>
    </w:p>
    <w:p w14:paraId="5A1E9484" w14:textId="77777777" w:rsidR="0028042C" w:rsidRDefault="00DE2ACC">
      <w:pPr>
        <w:spacing w:line="240" w:lineRule="auto"/>
      </w:pPr>
      <w:r>
        <w:t>Figure 2</w:t>
      </w:r>
      <w:r>
        <w:rPr>
          <w:vertAlign w:val="superscript"/>
        </w:rPr>
        <w:footnoteReference w:id="4"/>
      </w:r>
      <w:r>
        <w:t xml:space="preserve">: Image of the open and closed CFTR transmembrane protein. The NBD region binds ATP in order to </w:t>
      </w:r>
      <w:proofErr w:type="gramStart"/>
      <w:r>
        <w:t>transport  Cl</w:t>
      </w:r>
      <w:proofErr w:type="gramEnd"/>
      <w:r>
        <w:rPr>
          <w:vertAlign w:val="superscript"/>
        </w:rPr>
        <w:t>-</w:t>
      </w:r>
      <w:r>
        <w:t xml:space="preserve">. </w:t>
      </w:r>
    </w:p>
    <w:p w14:paraId="6234717B" w14:textId="77777777" w:rsidR="0028042C" w:rsidRDefault="0028042C">
      <w:pPr>
        <w:spacing w:line="240" w:lineRule="auto"/>
      </w:pPr>
    </w:p>
    <w:p w14:paraId="10F25A3F" w14:textId="77777777" w:rsidR="0028042C" w:rsidRDefault="00DE2ACC">
      <w:pPr>
        <w:numPr>
          <w:ilvl w:val="0"/>
          <w:numId w:val="2"/>
        </w:numPr>
        <w:spacing w:line="240" w:lineRule="auto"/>
        <w:contextualSpacing/>
      </w:pPr>
      <w:r>
        <w:t>Why might the mucus of CF patients be thicker than that of non-CF individuals?</w:t>
      </w:r>
    </w:p>
    <w:p w14:paraId="3C7CDF34" w14:textId="77777777" w:rsidR="0028042C" w:rsidRDefault="0028042C">
      <w:pPr>
        <w:spacing w:line="240" w:lineRule="auto"/>
      </w:pPr>
    </w:p>
    <w:p w14:paraId="1D8BB033" w14:textId="77777777" w:rsidR="0028042C" w:rsidRDefault="00DE2ACC">
      <w:pPr>
        <w:numPr>
          <w:ilvl w:val="0"/>
          <w:numId w:val="2"/>
        </w:numPr>
        <w:spacing w:line="240" w:lineRule="auto"/>
        <w:contextualSpacing/>
      </w:pPr>
      <w:r>
        <w:t>Using your knowledge of osmosis and water potential, explain why a lack of transport of Cl</w:t>
      </w:r>
      <w:r>
        <w:rPr>
          <w:vertAlign w:val="superscript"/>
        </w:rPr>
        <w:t>-</w:t>
      </w:r>
      <w:r>
        <w:t xml:space="preserve"> ions might result in thicker mucus for people with CF. </w:t>
      </w:r>
    </w:p>
    <w:p w14:paraId="12F353FF" w14:textId="77777777" w:rsidR="0028042C" w:rsidRDefault="0028042C">
      <w:pPr>
        <w:spacing w:line="240" w:lineRule="auto"/>
      </w:pPr>
    </w:p>
    <w:p w14:paraId="1BEA0B58" w14:textId="77777777" w:rsidR="0028042C" w:rsidRDefault="00DE2ACC">
      <w:pPr>
        <w:numPr>
          <w:ilvl w:val="0"/>
          <w:numId w:val="2"/>
        </w:numPr>
        <w:spacing w:line="240" w:lineRule="auto"/>
        <w:contextualSpacing/>
      </w:pPr>
      <w:r>
        <w:t xml:space="preserve">Using the model below, describe what is happening to the mucus thickness, cilia and airway surface liquid of the CF person. </w:t>
      </w:r>
    </w:p>
    <w:p w14:paraId="7CC20129" w14:textId="77777777" w:rsidR="0028042C" w:rsidRDefault="0028042C">
      <w:pPr>
        <w:spacing w:line="240" w:lineRule="auto"/>
      </w:pPr>
    </w:p>
    <w:p w14:paraId="39B38C10" w14:textId="77777777" w:rsidR="0028042C" w:rsidRDefault="00DE2ACC">
      <w:pPr>
        <w:spacing w:line="240" w:lineRule="auto"/>
      </w:pPr>
      <w:r>
        <w:rPr>
          <w:noProof/>
        </w:rPr>
        <w:drawing>
          <wp:inline distT="114300" distB="114300" distL="114300" distR="114300" wp14:anchorId="2D296A6B" wp14:editId="28E44385">
            <wp:extent cx="6858000" cy="2794000"/>
            <wp:effectExtent l="12700" t="12700" r="12700" b="127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6858000" cy="2794000"/>
                    </a:xfrm>
                    <a:prstGeom prst="rect">
                      <a:avLst/>
                    </a:prstGeom>
                    <a:ln w="12700">
                      <a:solidFill>
                        <a:srgbClr val="000000"/>
                      </a:solidFill>
                      <a:prstDash val="solid"/>
                    </a:ln>
                  </pic:spPr>
                </pic:pic>
              </a:graphicData>
            </a:graphic>
          </wp:inline>
        </w:drawing>
      </w:r>
    </w:p>
    <w:p w14:paraId="3811198E" w14:textId="77777777" w:rsidR="0028042C" w:rsidRDefault="00DE2ACC">
      <w:pPr>
        <w:spacing w:line="240" w:lineRule="auto"/>
      </w:pPr>
      <w:r>
        <w:t>Figure 3</w:t>
      </w:r>
      <w:r>
        <w:rPr>
          <w:vertAlign w:val="superscript"/>
        </w:rPr>
        <w:footnoteReference w:id="5"/>
      </w:r>
      <w:r>
        <w:t>: Model of a normal and a CF airway due to lack of Cl</w:t>
      </w:r>
      <w:r>
        <w:rPr>
          <w:vertAlign w:val="superscript"/>
        </w:rPr>
        <w:t>-</w:t>
      </w:r>
      <w:r>
        <w:t xml:space="preserve"> transport.</w:t>
      </w:r>
    </w:p>
    <w:p w14:paraId="030E2AF7" w14:textId="77777777" w:rsidR="0028042C" w:rsidRDefault="0028042C">
      <w:pPr>
        <w:spacing w:line="240" w:lineRule="auto"/>
      </w:pPr>
    </w:p>
    <w:p w14:paraId="5192F90E" w14:textId="77777777" w:rsidR="0028042C" w:rsidRDefault="0028042C">
      <w:pPr>
        <w:spacing w:line="240" w:lineRule="auto"/>
      </w:pPr>
    </w:p>
    <w:p w14:paraId="0E697831" w14:textId="77777777" w:rsidR="0028042C" w:rsidRDefault="00DE2ACC">
      <w:pPr>
        <w:spacing w:line="240" w:lineRule="auto"/>
      </w:pPr>
      <w:r>
        <w:br w:type="page"/>
      </w:r>
    </w:p>
    <w:p w14:paraId="7F349BB5" w14:textId="77777777" w:rsidR="0028042C" w:rsidRDefault="00DE2ACC">
      <w:pPr>
        <w:pStyle w:val="Heading3"/>
        <w:spacing w:line="240" w:lineRule="auto"/>
      </w:pPr>
      <w:bookmarkStart w:id="4" w:name="_t6k722ok88xt" w:colFirst="0" w:colLast="0"/>
      <w:bookmarkEnd w:id="4"/>
      <w:r>
        <w:lastRenderedPageBreak/>
        <w:t>CFTR Mutation Phenotypes</w:t>
      </w:r>
    </w:p>
    <w:p w14:paraId="20465987" w14:textId="77777777" w:rsidR="0028042C" w:rsidRDefault="00DE2ACC">
      <w:pPr>
        <w:spacing w:line="240" w:lineRule="auto"/>
        <w:rPr>
          <w:highlight w:val="white"/>
        </w:rPr>
      </w:pPr>
      <w:r>
        <w:t xml:space="preserve">There are over 1,800 mutations of CFTR in humans. Of those mutations, 32 of them combine for 85% of the phenotypic effects. </w:t>
      </w:r>
      <w:r>
        <w:rPr>
          <w:highlight w:val="white"/>
        </w:rPr>
        <w:t>Most mutations affect CFTR in two ways</w:t>
      </w:r>
      <w:r>
        <w:rPr>
          <w:highlight w:val="white"/>
          <w:vertAlign w:val="superscript"/>
        </w:rPr>
        <w:footnoteReference w:id="6"/>
      </w:r>
      <w:r>
        <w:rPr>
          <w:highlight w:val="white"/>
        </w:rPr>
        <w:t xml:space="preserve">: </w:t>
      </w:r>
    </w:p>
    <w:p w14:paraId="45E563BD" w14:textId="77777777" w:rsidR="0028042C" w:rsidRDefault="0028042C">
      <w:pPr>
        <w:spacing w:line="240" w:lineRule="auto"/>
        <w:rPr>
          <w:highlight w:val="white"/>
        </w:rPr>
      </w:pPr>
    </w:p>
    <w:p w14:paraId="0C301F62" w14:textId="77777777" w:rsidR="0028042C" w:rsidRDefault="00DE2ACC">
      <w:pPr>
        <w:numPr>
          <w:ilvl w:val="0"/>
          <w:numId w:val="3"/>
        </w:numPr>
        <w:spacing w:line="240" w:lineRule="auto"/>
        <w:contextualSpacing/>
      </w:pPr>
      <w:r>
        <w:rPr>
          <w:highlight w:val="white"/>
        </w:rPr>
        <w:t>Defects in the gene encoding CFTR that reduce its Cl</w:t>
      </w:r>
      <w:r>
        <w:rPr>
          <w:rFonts w:ascii="Arial Unicode MS" w:eastAsia="Arial Unicode MS" w:hAnsi="Arial Unicode MS" w:cs="Arial Unicode MS"/>
          <w:highlight w:val="white"/>
          <w:vertAlign w:val="superscript"/>
        </w:rPr>
        <w:t>−</w:t>
      </w:r>
      <w:r>
        <w:rPr>
          <w:highlight w:val="white"/>
        </w:rPr>
        <w:t xml:space="preserve"> transport capacity</w:t>
      </w:r>
    </w:p>
    <w:p w14:paraId="2D309E49" w14:textId="77777777" w:rsidR="0028042C" w:rsidRDefault="00DE2ACC">
      <w:pPr>
        <w:numPr>
          <w:ilvl w:val="0"/>
          <w:numId w:val="3"/>
        </w:numPr>
        <w:spacing w:line="240" w:lineRule="auto"/>
        <w:contextualSpacing/>
      </w:pPr>
      <w:r>
        <w:rPr>
          <w:highlight w:val="white"/>
        </w:rPr>
        <w:t>Altered level of cell surface expression of the transporter</w:t>
      </w:r>
    </w:p>
    <w:p w14:paraId="3D352C63" w14:textId="77777777" w:rsidR="0028042C" w:rsidRDefault="0028042C">
      <w:pPr>
        <w:spacing w:line="240" w:lineRule="auto"/>
        <w:rPr>
          <w:highlight w:val="white"/>
        </w:rPr>
      </w:pPr>
    </w:p>
    <w:p w14:paraId="3BF4B1F3" w14:textId="77777777" w:rsidR="0028042C" w:rsidRDefault="00DE2ACC">
      <w:pPr>
        <w:spacing w:line="240" w:lineRule="auto"/>
        <w:jc w:val="center"/>
        <w:rPr>
          <w:highlight w:val="white"/>
        </w:rPr>
      </w:pPr>
      <w:r>
        <w:rPr>
          <w:noProof/>
          <w:highlight w:val="white"/>
        </w:rPr>
        <w:drawing>
          <wp:inline distT="114300" distB="114300" distL="114300" distR="114300" wp14:anchorId="57FF0514" wp14:editId="6D72C035">
            <wp:extent cx="5355000" cy="2833688"/>
            <wp:effectExtent l="12700" t="12700" r="12700" b="127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355000" cy="2833688"/>
                    </a:xfrm>
                    <a:prstGeom prst="rect">
                      <a:avLst/>
                    </a:prstGeom>
                    <a:ln w="12700">
                      <a:solidFill>
                        <a:srgbClr val="000000"/>
                      </a:solidFill>
                      <a:prstDash val="solid"/>
                    </a:ln>
                  </pic:spPr>
                </pic:pic>
              </a:graphicData>
            </a:graphic>
          </wp:inline>
        </w:drawing>
      </w:r>
    </w:p>
    <w:p w14:paraId="355B84E7" w14:textId="77777777" w:rsidR="0028042C" w:rsidRDefault="0028042C">
      <w:pPr>
        <w:spacing w:line="240" w:lineRule="auto"/>
        <w:rPr>
          <w:highlight w:val="white"/>
        </w:rPr>
      </w:pPr>
    </w:p>
    <w:p w14:paraId="130672A7" w14:textId="77777777" w:rsidR="0028042C" w:rsidRDefault="0028042C">
      <w:pPr>
        <w:spacing w:line="240" w:lineRule="auto"/>
        <w:rPr>
          <w:highlight w:val="white"/>
        </w:rPr>
      </w:pPr>
    </w:p>
    <w:tbl>
      <w:tblPr>
        <w:tblStyle w:val="a"/>
        <w:tblW w:w="108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6360"/>
        <w:gridCol w:w="2745"/>
      </w:tblGrid>
      <w:tr w:rsidR="0028042C" w14:paraId="28FD9BE7" w14:textId="77777777">
        <w:tc>
          <w:tcPr>
            <w:tcW w:w="1710" w:type="dxa"/>
            <w:shd w:val="clear" w:color="auto" w:fill="auto"/>
            <w:tcMar>
              <w:top w:w="100" w:type="dxa"/>
              <w:left w:w="100" w:type="dxa"/>
              <w:bottom w:w="100" w:type="dxa"/>
              <w:right w:w="100" w:type="dxa"/>
            </w:tcMar>
          </w:tcPr>
          <w:p w14:paraId="7969373F" w14:textId="77777777" w:rsidR="0028042C" w:rsidRDefault="00DE2ACC">
            <w:pPr>
              <w:widowControl w:val="0"/>
              <w:spacing w:line="240" w:lineRule="auto"/>
              <w:rPr>
                <w:highlight w:val="white"/>
              </w:rPr>
            </w:pPr>
            <w:r>
              <w:rPr>
                <w:highlight w:val="white"/>
              </w:rPr>
              <w:t>Mutation Class</w:t>
            </w:r>
          </w:p>
        </w:tc>
        <w:tc>
          <w:tcPr>
            <w:tcW w:w="6360" w:type="dxa"/>
            <w:shd w:val="clear" w:color="auto" w:fill="auto"/>
            <w:tcMar>
              <w:top w:w="100" w:type="dxa"/>
              <w:left w:w="100" w:type="dxa"/>
              <w:bottom w:w="100" w:type="dxa"/>
              <w:right w:w="100" w:type="dxa"/>
            </w:tcMar>
          </w:tcPr>
          <w:p w14:paraId="54797022" w14:textId="77777777" w:rsidR="0028042C" w:rsidRDefault="00DE2ACC">
            <w:pPr>
              <w:widowControl w:val="0"/>
              <w:spacing w:line="240" w:lineRule="auto"/>
              <w:rPr>
                <w:highlight w:val="white"/>
              </w:rPr>
            </w:pPr>
            <w:r>
              <w:rPr>
                <w:highlight w:val="white"/>
              </w:rPr>
              <w:t>Phenotype</w:t>
            </w:r>
          </w:p>
        </w:tc>
        <w:tc>
          <w:tcPr>
            <w:tcW w:w="2745" w:type="dxa"/>
            <w:shd w:val="clear" w:color="auto" w:fill="auto"/>
            <w:tcMar>
              <w:top w:w="100" w:type="dxa"/>
              <w:left w:w="100" w:type="dxa"/>
              <w:bottom w:w="100" w:type="dxa"/>
              <w:right w:w="100" w:type="dxa"/>
            </w:tcMar>
          </w:tcPr>
          <w:p w14:paraId="51CFB91E" w14:textId="77777777" w:rsidR="0028042C" w:rsidRDefault="00DE2ACC">
            <w:pPr>
              <w:widowControl w:val="0"/>
              <w:spacing w:line="240" w:lineRule="auto"/>
              <w:rPr>
                <w:highlight w:val="white"/>
              </w:rPr>
            </w:pPr>
            <w:r>
              <w:rPr>
                <w:highlight w:val="white"/>
              </w:rPr>
              <w:t>Defect Type</w:t>
            </w:r>
          </w:p>
        </w:tc>
      </w:tr>
      <w:tr w:rsidR="0028042C" w14:paraId="4E3B11BD" w14:textId="77777777">
        <w:tc>
          <w:tcPr>
            <w:tcW w:w="1710" w:type="dxa"/>
            <w:shd w:val="clear" w:color="auto" w:fill="auto"/>
            <w:tcMar>
              <w:top w:w="100" w:type="dxa"/>
              <w:left w:w="100" w:type="dxa"/>
              <w:bottom w:w="100" w:type="dxa"/>
              <w:right w:w="100" w:type="dxa"/>
            </w:tcMar>
          </w:tcPr>
          <w:p w14:paraId="2452A4E4" w14:textId="77777777" w:rsidR="0028042C" w:rsidRDefault="00DE2ACC">
            <w:pPr>
              <w:widowControl w:val="0"/>
              <w:spacing w:line="240" w:lineRule="auto"/>
              <w:rPr>
                <w:highlight w:val="white"/>
              </w:rPr>
            </w:pPr>
            <w:r>
              <w:rPr>
                <w:highlight w:val="white"/>
              </w:rPr>
              <w:t>Class I</w:t>
            </w:r>
          </w:p>
        </w:tc>
        <w:tc>
          <w:tcPr>
            <w:tcW w:w="6360" w:type="dxa"/>
            <w:shd w:val="clear" w:color="auto" w:fill="auto"/>
            <w:tcMar>
              <w:top w:w="100" w:type="dxa"/>
              <w:left w:w="100" w:type="dxa"/>
              <w:bottom w:w="100" w:type="dxa"/>
              <w:right w:w="100" w:type="dxa"/>
            </w:tcMar>
          </w:tcPr>
          <w:p w14:paraId="118C8C9B" w14:textId="77777777" w:rsidR="0028042C" w:rsidRDefault="00DE2ACC">
            <w:pPr>
              <w:widowControl w:val="0"/>
              <w:spacing w:line="240" w:lineRule="auto"/>
              <w:rPr>
                <w:highlight w:val="white"/>
              </w:rPr>
            </w:pPr>
            <w:r>
              <w:rPr>
                <w:highlight w:val="white"/>
              </w:rPr>
              <w:t xml:space="preserve">The CFTR transporter is reduced in number or totally absent. </w:t>
            </w:r>
          </w:p>
        </w:tc>
        <w:tc>
          <w:tcPr>
            <w:tcW w:w="2745" w:type="dxa"/>
            <w:shd w:val="clear" w:color="auto" w:fill="auto"/>
            <w:tcMar>
              <w:top w:w="100" w:type="dxa"/>
              <w:left w:w="100" w:type="dxa"/>
              <w:bottom w:w="100" w:type="dxa"/>
              <w:right w:w="100" w:type="dxa"/>
            </w:tcMar>
          </w:tcPr>
          <w:p w14:paraId="57FADE9D" w14:textId="77777777" w:rsidR="0028042C" w:rsidRDefault="00DE2ACC">
            <w:pPr>
              <w:widowControl w:val="0"/>
              <w:spacing w:line="240" w:lineRule="auto"/>
              <w:rPr>
                <w:highlight w:val="white"/>
              </w:rPr>
            </w:pPr>
            <w:r>
              <w:rPr>
                <w:highlight w:val="white"/>
              </w:rPr>
              <w:t>Nonsense (stop codon)</w:t>
            </w:r>
          </w:p>
        </w:tc>
      </w:tr>
      <w:tr w:rsidR="0028042C" w14:paraId="4B630814" w14:textId="77777777">
        <w:tc>
          <w:tcPr>
            <w:tcW w:w="1710" w:type="dxa"/>
            <w:shd w:val="clear" w:color="auto" w:fill="auto"/>
            <w:tcMar>
              <w:top w:w="100" w:type="dxa"/>
              <w:left w:w="100" w:type="dxa"/>
              <w:bottom w:w="100" w:type="dxa"/>
              <w:right w:w="100" w:type="dxa"/>
            </w:tcMar>
          </w:tcPr>
          <w:p w14:paraId="4B245E4B" w14:textId="77777777" w:rsidR="0028042C" w:rsidRDefault="00DE2ACC">
            <w:pPr>
              <w:widowControl w:val="0"/>
              <w:spacing w:line="240" w:lineRule="auto"/>
              <w:rPr>
                <w:highlight w:val="white"/>
              </w:rPr>
            </w:pPr>
            <w:r>
              <w:rPr>
                <w:highlight w:val="white"/>
              </w:rPr>
              <w:t>Class II</w:t>
            </w:r>
          </w:p>
        </w:tc>
        <w:tc>
          <w:tcPr>
            <w:tcW w:w="6360" w:type="dxa"/>
            <w:shd w:val="clear" w:color="auto" w:fill="auto"/>
            <w:tcMar>
              <w:top w:w="100" w:type="dxa"/>
              <w:left w:w="100" w:type="dxa"/>
              <w:bottom w:w="100" w:type="dxa"/>
              <w:right w:w="100" w:type="dxa"/>
            </w:tcMar>
          </w:tcPr>
          <w:p w14:paraId="4D424CE5" w14:textId="77777777" w:rsidR="0028042C" w:rsidRDefault="00DE2ACC">
            <w:pPr>
              <w:widowControl w:val="0"/>
              <w:spacing w:line="240" w:lineRule="auto"/>
              <w:rPr>
                <w:highlight w:val="white"/>
              </w:rPr>
            </w:pPr>
            <w:r>
              <w:rPr>
                <w:highlight w:val="white"/>
              </w:rPr>
              <w:t xml:space="preserve">CFTR gets trapped in Golgi or rough ER. Little or none makes it to the surface of the cell. </w:t>
            </w:r>
          </w:p>
        </w:tc>
        <w:tc>
          <w:tcPr>
            <w:tcW w:w="2745" w:type="dxa"/>
            <w:shd w:val="clear" w:color="auto" w:fill="auto"/>
            <w:tcMar>
              <w:top w:w="100" w:type="dxa"/>
              <w:left w:w="100" w:type="dxa"/>
              <w:bottom w:w="100" w:type="dxa"/>
              <w:right w:w="100" w:type="dxa"/>
            </w:tcMar>
          </w:tcPr>
          <w:p w14:paraId="038CCB61" w14:textId="77777777" w:rsidR="0028042C" w:rsidRDefault="00DE2ACC">
            <w:pPr>
              <w:widowControl w:val="0"/>
              <w:spacing w:line="240" w:lineRule="auto"/>
              <w:rPr>
                <w:highlight w:val="white"/>
              </w:rPr>
            </w:pPr>
            <w:r>
              <w:rPr>
                <w:highlight w:val="white"/>
              </w:rPr>
              <w:t>Protein Degradation</w:t>
            </w:r>
          </w:p>
        </w:tc>
      </w:tr>
      <w:tr w:rsidR="0028042C" w14:paraId="3F753FFC" w14:textId="77777777">
        <w:tc>
          <w:tcPr>
            <w:tcW w:w="1710" w:type="dxa"/>
            <w:shd w:val="clear" w:color="auto" w:fill="auto"/>
            <w:tcMar>
              <w:top w:w="100" w:type="dxa"/>
              <w:left w:w="100" w:type="dxa"/>
              <w:bottom w:w="100" w:type="dxa"/>
              <w:right w:w="100" w:type="dxa"/>
            </w:tcMar>
          </w:tcPr>
          <w:p w14:paraId="3139B7D1" w14:textId="77777777" w:rsidR="0028042C" w:rsidRDefault="00DE2ACC">
            <w:pPr>
              <w:widowControl w:val="0"/>
              <w:spacing w:line="240" w:lineRule="auto"/>
              <w:rPr>
                <w:highlight w:val="white"/>
              </w:rPr>
            </w:pPr>
            <w:r>
              <w:rPr>
                <w:highlight w:val="white"/>
              </w:rPr>
              <w:t>Class III</w:t>
            </w:r>
          </w:p>
        </w:tc>
        <w:tc>
          <w:tcPr>
            <w:tcW w:w="6360" w:type="dxa"/>
            <w:shd w:val="clear" w:color="auto" w:fill="auto"/>
            <w:tcMar>
              <w:top w:w="100" w:type="dxa"/>
              <w:left w:w="100" w:type="dxa"/>
              <w:bottom w:w="100" w:type="dxa"/>
              <w:right w:w="100" w:type="dxa"/>
            </w:tcMar>
          </w:tcPr>
          <w:p w14:paraId="0E4D8A85" w14:textId="77777777" w:rsidR="0028042C" w:rsidRDefault="00DE2ACC">
            <w:pPr>
              <w:widowControl w:val="0"/>
              <w:spacing w:line="240" w:lineRule="auto"/>
              <w:rPr>
                <w:highlight w:val="white"/>
              </w:rPr>
            </w:pPr>
            <w:r>
              <w:rPr>
                <w:highlight w:val="white"/>
              </w:rPr>
              <w:t xml:space="preserve">Regulation of the CFTR is damaged and results in decreased channel opening. </w:t>
            </w:r>
          </w:p>
        </w:tc>
        <w:tc>
          <w:tcPr>
            <w:tcW w:w="2745" w:type="dxa"/>
            <w:shd w:val="clear" w:color="auto" w:fill="auto"/>
            <w:tcMar>
              <w:top w:w="100" w:type="dxa"/>
              <w:left w:w="100" w:type="dxa"/>
              <w:bottom w:w="100" w:type="dxa"/>
              <w:right w:w="100" w:type="dxa"/>
            </w:tcMar>
          </w:tcPr>
          <w:p w14:paraId="4FC7CFA1" w14:textId="77777777" w:rsidR="0028042C" w:rsidRDefault="00DE2ACC">
            <w:pPr>
              <w:widowControl w:val="0"/>
              <w:spacing w:line="240" w:lineRule="auto"/>
              <w:rPr>
                <w:highlight w:val="white"/>
              </w:rPr>
            </w:pPr>
            <w:r>
              <w:rPr>
                <w:highlight w:val="white"/>
              </w:rPr>
              <w:t>Missense (substitution)</w:t>
            </w:r>
          </w:p>
        </w:tc>
      </w:tr>
      <w:tr w:rsidR="0028042C" w14:paraId="3B2C9728" w14:textId="77777777">
        <w:tc>
          <w:tcPr>
            <w:tcW w:w="1710" w:type="dxa"/>
            <w:shd w:val="clear" w:color="auto" w:fill="auto"/>
            <w:tcMar>
              <w:top w:w="100" w:type="dxa"/>
              <w:left w:w="100" w:type="dxa"/>
              <w:bottom w:w="100" w:type="dxa"/>
              <w:right w:w="100" w:type="dxa"/>
            </w:tcMar>
          </w:tcPr>
          <w:p w14:paraId="102480FD" w14:textId="77777777" w:rsidR="0028042C" w:rsidRDefault="00DE2ACC">
            <w:pPr>
              <w:widowControl w:val="0"/>
              <w:spacing w:line="240" w:lineRule="auto"/>
              <w:rPr>
                <w:highlight w:val="white"/>
              </w:rPr>
            </w:pPr>
            <w:r>
              <w:rPr>
                <w:highlight w:val="white"/>
              </w:rPr>
              <w:t>Class IV</w:t>
            </w:r>
          </w:p>
        </w:tc>
        <w:tc>
          <w:tcPr>
            <w:tcW w:w="6360" w:type="dxa"/>
            <w:shd w:val="clear" w:color="auto" w:fill="auto"/>
            <w:tcMar>
              <w:top w:w="100" w:type="dxa"/>
              <w:left w:w="100" w:type="dxa"/>
              <w:bottom w:w="100" w:type="dxa"/>
              <w:right w:w="100" w:type="dxa"/>
            </w:tcMar>
          </w:tcPr>
          <w:p w14:paraId="6375269A" w14:textId="77777777" w:rsidR="0028042C" w:rsidRDefault="00DE2ACC">
            <w:pPr>
              <w:widowControl w:val="0"/>
              <w:spacing w:line="240" w:lineRule="auto"/>
              <w:rPr>
                <w:highlight w:val="white"/>
              </w:rPr>
            </w:pPr>
            <w:r>
              <w:rPr>
                <w:highlight w:val="white"/>
              </w:rPr>
              <w:t>CFTR present but conductance of Cl</w:t>
            </w:r>
            <w:r>
              <w:rPr>
                <w:highlight w:val="white"/>
                <w:vertAlign w:val="superscript"/>
              </w:rPr>
              <w:t>-</w:t>
            </w:r>
            <w:r>
              <w:rPr>
                <w:highlight w:val="white"/>
              </w:rPr>
              <w:t xml:space="preserve"> ions decreased. </w:t>
            </w:r>
          </w:p>
        </w:tc>
        <w:tc>
          <w:tcPr>
            <w:tcW w:w="2745" w:type="dxa"/>
            <w:shd w:val="clear" w:color="auto" w:fill="auto"/>
            <w:tcMar>
              <w:top w:w="100" w:type="dxa"/>
              <w:left w:w="100" w:type="dxa"/>
              <w:bottom w:w="100" w:type="dxa"/>
              <w:right w:w="100" w:type="dxa"/>
            </w:tcMar>
          </w:tcPr>
          <w:p w14:paraId="2056C0BB" w14:textId="77777777" w:rsidR="0028042C" w:rsidRDefault="00DE2ACC">
            <w:pPr>
              <w:widowControl w:val="0"/>
              <w:spacing w:line="240" w:lineRule="auto"/>
              <w:rPr>
                <w:highlight w:val="white"/>
              </w:rPr>
            </w:pPr>
            <w:r>
              <w:rPr>
                <w:highlight w:val="white"/>
              </w:rPr>
              <w:t>Missense (substitution)</w:t>
            </w:r>
          </w:p>
        </w:tc>
      </w:tr>
      <w:tr w:rsidR="0028042C" w14:paraId="558AA9E9" w14:textId="77777777">
        <w:tc>
          <w:tcPr>
            <w:tcW w:w="1710" w:type="dxa"/>
            <w:shd w:val="clear" w:color="auto" w:fill="auto"/>
            <w:tcMar>
              <w:top w:w="100" w:type="dxa"/>
              <w:left w:w="100" w:type="dxa"/>
              <w:bottom w:w="100" w:type="dxa"/>
              <w:right w:w="100" w:type="dxa"/>
            </w:tcMar>
          </w:tcPr>
          <w:p w14:paraId="38AFAF7A" w14:textId="77777777" w:rsidR="0028042C" w:rsidRDefault="00DE2ACC">
            <w:pPr>
              <w:widowControl w:val="0"/>
              <w:spacing w:line="240" w:lineRule="auto"/>
              <w:rPr>
                <w:highlight w:val="white"/>
              </w:rPr>
            </w:pPr>
            <w:r>
              <w:rPr>
                <w:highlight w:val="white"/>
              </w:rPr>
              <w:t>Class V</w:t>
            </w:r>
          </w:p>
        </w:tc>
        <w:tc>
          <w:tcPr>
            <w:tcW w:w="6360" w:type="dxa"/>
            <w:shd w:val="clear" w:color="auto" w:fill="auto"/>
            <w:tcMar>
              <w:top w:w="100" w:type="dxa"/>
              <w:left w:w="100" w:type="dxa"/>
              <w:bottom w:w="100" w:type="dxa"/>
              <w:right w:w="100" w:type="dxa"/>
            </w:tcMar>
          </w:tcPr>
          <w:p w14:paraId="46EB9BE9" w14:textId="77777777" w:rsidR="0028042C" w:rsidRDefault="00DE2ACC">
            <w:pPr>
              <w:widowControl w:val="0"/>
              <w:spacing w:line="240" w:lineRule="auto"/>
              <w:rPr>
                <w:highlight w:val="white"/>
              </w:rPr>
            </w:pPr>
            <w:r>
              <w:rPr>
                <w:highlight w:val="white"/>
              </w:rPr>
              <w:t xml:space="preserve">Reduced amounts of CFTR protein produced at cell surface. </w:t>
            </w:r>
          </w:p>
        </w:tc>
        <w:tc>
          <w:tcPr>
            <w:tcW w:w="2745" w:type="dxa"/>
            <w:shd w:val="clear" w:color="auto" w:fill="auto"/>
            <w:tcMar>
              <w:top w:w="100" w:type="dxa"/>
              <w:left w:w="100" w:type="dxa"/>
              <w:bottom w:w="100" w:type="dxa"/>
              <w:right w:w="100" w:type="dxa"/>
            </w:tcMar>
          </w:tcPr>
          <w:p w14:paraId="57C90326" w14:textId="77777777" w:rsidR="0028042C" w:rsidRDefault="00DE2ACC">
            <w:pPr>
              <w:widowControl w:val="0"/>
              <w:spacing w:line="240" w:lineRule="auto"/>
              <w:rPr>
                <w:highlight w:val="white"/>
              </w:rPr>
            </w:pPr>
            <w:r>
              <w:rPr>
                <w:highlight w:val="white"/>
              </w:rPr>
              <w:t>mRNA splicing defect</w:t>
            </w:r>
          </w:p>
        </w:tc>
      </w:tr>
      <w:tr w:rsidR="0028042C" w14:paraId="60051532" w14:textId="77777777">
        <w:tc>
          <w:tcPr>
            <w:tcW w:w="1710" w:type="dxa"/>
            <w:shd w:val="clear" w:color="auto" w:fill="auto"/>
            <w:tcMar>
              <w:top w:w="100" w:type="dxa"/>
              <w:left w:w="100" w:type="dxa"/>
              <w:bottom w:w="100" w:type="dxa"/>
              <w:right w:w="100" w:type="dxa"/>
            </w:tcMar>
          </w:tcPr>
          <w:p w14:paraId="43A53912" w14:textId="77777777" w:rsidR="0028042C" w:rsidRDefault="00DE2ACC">
            <w:pPr>
              <w:widowControl w:val="0"/>
              <w:spacing w:line="240" w:lineRule="auto"/>
              <w:rPr>
                <w:highlight w:val="white"/>
              </w:rPr>
            </w:pPr>
            <w:r>
              <w:rPr>
                <w:highlight w:val="white"/>
              </w:rPr>
              <w:t>Class VI</w:t>
            </w:r>
          </w:p>
        </w:tc>
        <w:tc>
          <w:tcPr>
            <w:tcW w:w="6360" w:type="dxa"/>
            <w:shd w:val="clear" w:color="auto" w:fill="auto"/>
            <w:tcMar>
              <w:top w:w="100" w:type="dxa"/>
              <w:left w:w="100" w:type="dxa"/>
              <w:bottom w:w="100" w:type="dxa"/>
              <w:right w:w="100" w:type="dxa"/>
            </w:tcMar>
          </w:tcPr>
          <w:p w14:paraId="348B30D2" w14:textId="77777777" w:rsidR="0028042C" w:rsidRDefault="00DE2ACC">
            <w:pPr>
              <w:widowControl w:val="0"/>
              <w:spacing w:line="240" w:lineRule="auto"/>
              <w:rPr>
                <w:highlight w:val="white"/>
              </w:rPr>
            </w:pPr>
            <w:r>
              <w:rPr>
                <w:highlight w:val="white"/>
              </w:rPr>
              <w:t xml:space="preserve">Reduced stability of CFTR at cell surface. </w:t>
            </w:r>
          </w:p>
        </w:tc>
        <w:tc>
          <w:tcPr>
            <w:tcW w:w="2745" w:type="dxa"/>
            <w:shd w:val="clear" w:color="auto" w:fill="auto"/>
            <w:tcMar>
              <w:top w:w="100" w:type="dxa"/>
              <w:left w:w="100" w:type="dxa"/>
              <w:bottom w:w="100" w:type="dxa"/>
              <w:right w:w="100" w:type="dxa"/>
            </w:tcMar>
          </w:tcPr>
          <w:p w14:paraId="5ADCB47D" w14:textId="77777777" w:rsidR="0028042C" w:rsidRDefault="00DE2ACC">
            <w:pPr>
              <w:widowControl w:val="0"/>
              <w:spacing w:line="240" w:lineRule="auto"/>
              <w:rPr>
                <w:highlight w:val="white"/>
              </w:rPr>
            </w:pPr>
            <w:r>
              <w:rPr>
                <w:highlight w:val="white"/>
              </w:rPr>
              <w:t>mRNA splicing defect</w:t>
            </w:r>
          </w:p>
        </w:tc>
      </w:tr>
    </w:tbl>
    <w:p w14:paraId="3E0B0DAF" w14:textId="77777777" w:rsidR="0028042C" w:rsidRDefault="0028042C">
      <w:pPr>
        <w:spacing w:line="240" w:lineRule="auto"/>
        <w:rPr>
          <w:highlight w:val="white"/>
        </w:rPr>
      </w:pPr>
    </w:p>
    <w:p w14:paraId="4918C957" w14:textId="77777777" w:rsidR="0028042C" w:rsidRDefault="0028042C">
      <w:pPr>
        <w:spacing w:line="240" w:lineRule="auto"/>
        <w:rPr>
          <w:highlight w:val="white"/>
        </w:rPr>
      </w:pPr>
    </w:p>
    <w:p w14:paraId="56F0F57B" w14:textId="77777777" w:rsidR="0028042C" w:rsidRDefault="0028042C">
      <w:pPr>
        <w:spacing w:line="240" w:lineRule="auto"/>
        <w:rPr>
          <w:highlight w:val="white"/>
        </w:rPr>
      </w:pPr>
    </w:p>
    <w:p w14:paraId="75065895" w14:textId="77777777" w:rsidR="0028042C" w:rsidRDefault="0028042C">
      <w:pPr>
        <w:spacing w:line="240" w:lineRule="auto"/>
        <w:rPr>
          <w:highlight w:val="white"/>
        </w:rPr>
      </w:pPr>
    </w:p>
    <w:p w14:paraId="0F81315C" w14:textId="77777777" w:rsidR="0028042C" w:rsidRDefault="0028042C">
      <w:pPr>
        <w:spacing w:line="240" w:lineRule="auto"/>
        <w:rPr>
          <w:highlight w:val="white"/>
        </w:rPr>
      </w:pPr>
    </w:p>
    <w:p w14:paraId="6A4F592E" w14:textId="77777777" w:rsidR="0028042C" w:rsidRDefault="0028042C">
      <w:pPr>
        <w:spacing w:line="240" w:lineRule="auto"/>
        <w:rPr>
          <w:highlight w:val="white"/>
        </w:rPr>
      </w:pPr>
    </w:p>
    <w:p w14:paraId="011D33D9" w14:textId="77777777" w:rsidR="0028042C" w:rsidRDefault="0028042C">
      <w:pPr>
        <w:spacing w:line="240" w:lineRule="auto"/>
        <w:rPr>
          <w:highlight w:val="white"/>
        </w:rPr>
      </w:pPr>
    </w:p>
    <w:p w14:paraId="585AC227" w14:textId="77777777" w:rsidR="0028042C" w:rsidRDefault="0028042C">
      <w:pPr>
        <w:spacing w:line="240" w:lineRule="auto"/>
        <w:rPr>
          <w:highlight w:val="white"/>
        </w:rPr>
      </w:pPr>
    </w:p>
    <w:p w14:paraId="2CD74676" w14:textId="77777777" w:rsidR="0028042C" w:rsidRDefault="00DE2ACC">
      <w:pPr>
        <w:numPr>
          <w:ilvl w:val="0"/>
          <w:numId w:val="5"/>
        </w:numPr>
        <w:spacing w:line="240" w:lineRule="auto"/>
        <w:contextualSpacing/>
        <w:rPr>
          <w:highlight w:val="white"/>
        </w:rPr>
      </w:pPr>
      <w:r>
        <w:rPr>
          <w:highlight w:val="white"/>
        </w:rPr>
        <w:t>There are other chloride channels on the epithelial cell surface of lung tissues. One of these is the calcium-activated chloride channel (</w:t>
      </w:r>
      <w:proofErr w:type="spellStart"/>
      <w:r>
        <w:rPr>
          <w:highlight w:val="white"/>
        </w:rPr>
        <w:t>CaCC</w:t>
      </w:r>
      <w:proofErr w:type="spellEnd"/>
      <w:r>
        <w:rPr>
          <w:highlight w:val="white"/>
        </w:rPr>
        <w:t xml:space="preserve">). Many of these channels are shut down most of the time. Propose a treatment for CF patients by increasing </w:t>
      </w:r>
      <w:proofErr w:type="spellStart"/>
      <w:r>
        <w:rPr>
          <w:highlight w:val="white"/>
        </w:rPr>
        <w:t>CaCC</w:t>
      </w:r>
      <w:proofErr w:type="spellEnd"/>
      <w:r>
        <w:rPr>
          <w:highlight w:val="white"/>
        </w:rPr>
        <w:t xml:space="preserve"> activity. </w:t>
      </w:r>
    </w:p>
    <w:p w14:paraId="59B6D836" w14:textId="77777777" w:rsidR="0028042C" w:rsidRDefault="0028042C">
      <w:pPr>
        <w:spacing w:line="240" w:lineRule="auto"/>
        <w:rPr>
          <w:highlight w:val="white"/>
        </w:rPr>
      </w:pPr>
    </w:p>
    <w:p w14:paraId="5691640F" w14:textId="77777777" w:rsidR="0028042C" w:rsidRDefault="00DE2ACC">
      <w:pPr>
        <w:numPr>
          <w:ilvl w:val="0"/>
          <w:numId w:val="5"/>
        </w:numPr>
        <w:spacing w:line="240" w:lineRule="auto"/>
        <w:contextualSpacing/>
        <w:rPr>
          <w:highlight w:val="white"/>
        </w:rPr>
      </w:pPr>
      <w:r>
        <w:rPr>
          <w:highlight w:val="white"/>
        </w:rPr>
        <w:t>A premature stop codon results in a nonsense mutation in Class I phenotypes. The result is a shortened and basically useless CFTR. Some drugs have been proposed to ignore the premature stop signal and continue with full-length protein production. Considering a mutated mRNA being delivered to the ribosome, how might this treatment be effective?</w:t>
      </w:r>
    </w:p>
    <w:p w14:paraId="22B8887D" w14:textId="77777777" w:rsidR="0028042C" w:rsidRDefault="0028042C">
      <w:pPr>
        <w:spacing w:line="240" w:lineRule="auto"/>
        <w:rPr>
          <w:highlight w:val="white"/>
        </w:rPr>
      </w:pPr>
    </w:p>
    <w:p w14:paraId="1C58F29D" w14:textId="77777777" w:rsidR="0028042C" w:rsidRDefault="00DE2ACC">
      <w:pPr>
        <w:numPr>
          <w:ilvl w:val="0"/>
          <w:numId w:val="5"/>
        </w:numPr>
        <w:spacing w:line="240" w:lineRule="auto"/>
        <w:contextualSpacing/>
        <w:rPr>
          <w:highlight w:val="white"/>
        </w:rPr>
      </w:pPr>
      <w:r>
        <w:rPr>
          <w:highlight w:val="white"/>
        </w:rPr>
        <w:t xml:space="preserve">Most nonsense mutations of the CFTR are caused by deletions resulting in frameshift mutations. </w:t>
      </w:r>
    </w:p>
    <w:p w14:paraId="1B60244A" w14:textId="77777777" w:rsidR="0028042C" w:rsidRDefault="00DE2ACC">
      <w:pPr>
        <w:numPr>
          <w:ilvl w:val="1"/>
          <w:numId w:val="5"/>
        </w:numPr>
        <w:spacing w:line="240" w:lineRule="auto"/>
        <w:contextualSpacing/>
        <w:rPr>
          <w:highlight w:val="white"/>
        </w:rPr>
      </w:pPr>
      <w:r>
        <w:rPr>
          <w:highlight w:val="white"/>
        </w:rPr>
        <w:t xml:space="preserve">Compare the phenotypic effects of Class I/II mutations to Class III/IV mutations (substitutions) using Figure 2. </w:t>
      </w:r>
    </w:p>
    <w:p w14:paraId="525CE7A6" w14:textId="77777777" w:rsidR="0028042C" w:rsidRDefault="00DE2ACC">
      <w:pPr>
        <w:numPr>
          <w:ilvl w:val="1"/>
          <w:numId w:val="5"/>
        </w:numPr>
        <w:spacing w:line="240" w:lineRule="auto"/>
        <w:contextualSpacing/>
        <w:rPr>
          <w:highlight w:val="white"/>
        </w:rPr>
      </w:pPr>
      <w:r>
        <w:rPr>
          <w:highlight w:val="white"/>
        </w:rPr>
        <w:t>Which mutation would you predict would yield a greater CF impact on the epithelial cells?</w:t>
      </w:r>
    </w:p>
    <w:p w14:paraId="512FB10E" w14:textId="77777777" w:rsidR="0028042C" w:rsidRDefault="0028042C">
      <w:pPr>
        <w:spacing w:line="240" w:lineRule="auto"/>
        <w:ind w:left="720"/>
        <w:rPr>
          <w:highlight w:val="white"/>
        </w:rPr>
      </w:pPr>
    </w:p>
    <w:p w14:paraId="2DA8598D" w14:textId="77777777" w:rsidR="0028042C" w:rsidRDefault="00DE2ACC">
      <w:pPr>
        <w:numPr>
          <w:ilvl w:val="0"/>
          <w:numId w:val="5"/>
        </w:numPr>
        <w:spacing w:line="240" w:lineRule="auto"/>
        <w:contextualSpacing/>
        <w:rPr>
          <w:highlight w:val="white"/>
        </w:rPr>
      </w:pPr>
      <w:r>
        <w:rPr>
          <w:highlight w:val="white"/>
        </w:rPr>
        <w:t xml:space="preserve">“Correctors” are small molecules which assist trafficking of mutant CFTR to the cell surface membrane. As Class II mutants get “lost” in the </w:t>
      </w:r>
      <w:proofErr w:type="spellStart"/>
      <w:r>
        <w:rPr>
          <w:highlight w:val="white"/>
        </w:rPr>
        <w:t>golgi</w:t>
      </w:r>
      <w:proofErr w:type="spellEnd"/>
      <w:r>
        <w:rPr>
          <w:highlight w:val="white"/>
        </w:rPr>
        <w:t xml:space="preserve"> or rough ER, these molecules escort them to the surface. These mutant CFTRs are not as good as transporting as normal CFTR transporters. If these molecules are good at spotting and escorting mutated proteins, what might be one danger of using them if the specificity is not 100% for CFTR proteins?</w:t>
      </w:r>
    </w:p>
    <w:p w14:paraId="2E804C8B" w14:textId="77777777" w:rsidR="0028042C" w:rsidRDefault="0028042C">
      <w:pPr>
        <w:spacing w:line="240" w:lineRule="auto"/>
        <w:rPr>
          <w:highlight w:val="white"/>
        </w:rPr>
      </w:pPr>
    </w:p>
    <w:p w14:paraId="0B052D91" w14:textId="77777777" w:rsidR="0028042C" w:rsidRDefault="00DE2ACC">
      <w:pPr>
        <w:numPr>
          <w:ilvl w:val="0"/>
          <w:numId w:val="5"/>
        </w:numPr>
        <w:spacing w:line="240" w:lineRule="auto"/>
        <w:contextualSpacing/>
        <w:rPr>
          <w:highlight w:val="white"/>
        </w:rPr>
      </w:pPr>
      <w:r>
        <w:rPr>
          <w:highlight w:val="white"/>
        </w:rPr>
        <w:t>How might a cofactor that increases Cl</w:t>
      </w:r>
      <w:r>
        <w:rPr>
          <w:highlight w:val="white"/>
          <w:vertAlign w:val="superscript"/>
        </w:rPr>
        <w:t>-</w:t>
      </w:r>
      <w:r>
        <w:rPr>
          <w:highlight w:val="white"/>
        </w:rPr>
        <w:t xml:space="preserve"> conductance or increased channel activity affect the mutated Class IV CFTR proteins?</w:t>
      </w:r>
    </w:p>
    <w:p w14:paraId="60B1C893" w14:textId="77777777" w:rsidR="0028042C" w:rsidRDefault="00DE2ACC">
      <w:pPr>
        <w:spacing w:line="240" w:lineRule="auto"/>
        <w:rPr>
          <w:highlight w:val="white"/>
        </w:rPr>
      </w:pPr>
      <w:r>
        <w:br w:type="page"/>
      </w:r>
    </w:p>
    <w:p w14:paraId="1F689263" w14:textId="77777777" w:rsidR="0028042C" w:rsidRDefault="00DE2ACC">
      <w:pPr>
        <w:pStyle w:val="Heading3"/>
        <w:spacing w:line="240" w:lineRule="auto"/>
      </w:pPr>
      <w:bookmarkStart w:id="5" w:name="_4ol4myrylh5q" w:colFirst="0" w:colLast="0"/>
      <w:bookmarkEnd w:id="5"/>
      <w:r>
        <w:lastRenderedPageBreak/>
        <w:t>CFTR Mutations - Genetics</w:t>
      </w:r>
    </w:p>
    <w:p w14:paraId="09C4916C" w14:textId="77777777" w:rsidR="0028042C" w:rsidRDefault="00DE2ACC">
      <w:pPr>
        <w:rPr>
          <w:color w:val="222222"/>
          <w:highlight w:val="white"/>
        </w:rPr>
      </w:pPr>
      <w:r>
        <w:t xml:space="preserve"> Up to 90% of all CFTR mutations are of the </w:t>
      </w:r>
      <w:r>
        <w:rPr>
          <w:color w:val="222222"/>
          <w:highlight w:val="white"/>
        </w:rPr>
        <w:t>ΔF508 (Delta-F508) variety. The mutation is a deletion of three nucleotides at positions 507 and 508 of the CFTR gene on chromosome 7. This results in the loss of a single codon for the amino acid phenylalanine (</w:t>
      </w:r>
      <w:proofErr w:type="spellStart"/>
      <w:r>
        <w:rPr>
          <w:color w:val="222222"/>
          <w:highlight w:val="white"/>
        </w:rPr>
        <w:t>Phe</w:t>
      </w:r>
      <w:proofErr w:type="spellEnd"/>
      <w:r>
        <w:rPr>
          <w:color w:val="222222"/>
          <w:highlight w:val="white"/>
        </w:rPr>
        <w:t xml:space="preserve">). A loss of </w:t>
      </w:r>
      <w:proofErr w:type="spellStart"/>
      <w:r>
        <w:rPr>
          <w:color w:val="222222"/>
          <w:highlight w:val="white"/>
        </w:rPr>
        <w:t>Phe</w:t>
      </w:r>
      <w:proofErr w:type="spellEnd"/>
      <w:r>
        <w:rPr>
          <w:color w:val="222222"/>
          <w:highlight w:val="white"/>
        </w:rPr>
        <w:t xml:space="preserve"> at this site causes the protein to be abnormally folded. The misfolded protein cannot leave the rough ER for processing or packaging by the Golgi. Because this mutation leads to reduced protein functionality, it is a recessive genetic disorder</w:t>
      </w:r>
      <w:r>
        <w:rPr>
          <w:color w:val="222222"/>
          <w:highlight w:val="white"/>
          <w:vertAlign w:val="superscript"/>
        </w:rPr>
        <w:footnoteReference w:id="7"/>
      </w:r>
      <w:r>
        <w:rPr>
          <w:color w:val="222222"/>
          <w:highlight w:val="white"/>
        </w:rPr>
        <w:t xml:space="preserve">. </w:t>
      </w:r>
    </w:p>
    <w:p w14:paraId="550B8B37" w14:textId="77777777" w:rsidR="0028042C" w:rsidRDefault="0028042C">
      <w:pPr>
        <w:rPr>
          <w:color w:val="222222"/>
          <w:highlight w:val="white"/>
        </w:rPr>
      </w:pPr>
    </w:p>
    <w:p w14:paraId="36E8928D" w14:textId="77777777" w:rsidR="0028042C" w:rsidRDefault="00DE2ACC">
      <w:pPr>
        <w:rPr>
          <w:color w:val="222222"/>
          <w:highlight w:val="white"/>
        </w:rPr>
      </w:pPr>
      <w:r>
        <w:rPr>
          <w:color w:val="222222"/>
          <w:highlight w:val="white"/>
        </w:rPr>
        <w:t>Below is an abbreviated DNA sequence from the CFTR gene</w:t>
      </w:r>
      <w:r>
        <w:rPr>
          <w:color w:val="222222"/>
          <w:highlight w:val="white"/>
          <w:vertAlign w:val="superscript"/>
        </w:rPr>
        <w:footnoteReference w:id="8"/>
      </w:r>
      <w:r>
        <w:rPr>
          <w:color w:val="222222"/>
          <w:highlight w:val="white"/>
        </w:rPr>
        <w:t xml:space="preserve">. The F508 deletion that codes for phenylalanine is underlined.  </w:t>
      </w:r>
    </w:p>
    <w:p w14:paraId="134AEF56" w14:textId="77777777" w:rsidR="0028042C" w:rsidRDefault="0028042C">
      <w:pPr>
        <w:rPr>
          <w:color w:val="222222"/>
          <w:highlight w:val="white"/>
        </w:rPr>
      </w:pPr>
    </w:p>
    <w:p w14:paraId="3CCC6DFD" w14:textId="77777777" w:rsidR="0028042C" w:rsidRDefault="00DE2ACC">
      <w:pPr>
        <w:spacing w:line="288" w:lineRule="auto"/>
        <w:rPr>
          <w:color w:val="222222"/>
          <w:sz w:val="18"/>
          <w:szCs w:val="18"/>
          <w:highlight w:val="white"/>
        </w:rPr>
      </w:pPr>
      <w:r>
        <w:rPr>
          <w:color w:val="222222"/>
          <w:sz w:val="18"/>
          <w:szCs w:val="18"/>
          <w:highlight w:val="white"/>
        </w:rPr>
        <w:t>GCCCGGCACCATCAAGGAGAACATCATC</w:t>
      </w:r>
      <w:r>
        <w:rPr>
          <w:b/>
          <w:color w:val="222222"/>
          <w:sz w:val="18"/>
          <w:szCs w:val="18"/>
          <w:highlight w:val="white"/>
          <w:u w:val="single"/>
        </w:rPr>
        <w:t>TTC</w:t>
      </w:r>
      <w:r>
        <w:rPr>
          <w:color w:val="222222"/>
          <w:sz w:val="18"/>
          <w:szCs w:val="18"/>
          <w:highlight w:val="white"/>
        </w:rPr>
        <w:t>GGCGTGAGCTACGACGAGTACAGGTACAGGAGCGTGATCAAGGCCTGCCAGCT</w:t>
      </w:r>
    </w:p>
    <w:p w14:paraId="09A46226" w14:textId="77777777" w:rsidR="0028042C" w:rsidRDefault="0028042C">
      <w:pPr>
        <w:rPr>
          <w:color w:val="222222"/>
          <w:highlight w:val="white"/>
        </w:rPr>
      </w:pPr>
    </w:p>
    <w:p w14:paraId="0255FA1D" w14:textId="77777777" w:rsidR="0028042C" w:rsidRDefault="00DE2ACC">
      <w:pPr>
        <w:numPr>
          <w:ilvl w:val="0"/>
          <w:numId w:val="6"/>
        </w:numPr>
        <w:contextualSpacing/>
        <w:rPr>
          <w:color w:val="222222"/>
          <w:highlight w:val="white"/>
        </w:rPr>
      </w:pPr>
      <w:r>
        <w:rPr>
          <w:color w:val="222222"/>
          <w:highlight w:val="white"/>
        </w:rPr>
        <w:t xml:space="preserve">Use the base code above and transcribe each letter into RNA to form the complete mRNA strand. </w:t>
      </w:r>
    </w:p>
    <w:p w14:paraId="3768E7C1" w14:textId="77777777" w:rsidR="0028042C" w:rsidRDefault="0028042C">
      <w:pPr>
        <w:rPr>
          <w:color w:val="222222"/>
          <w:highlight w:val="white"/>
        </w:rPr>
      </w:pPr>
    </w:p>
    <w:p w14:paraId="4E8F99F3" w14:textId="77777777" w:rsidR="0028042C" w:rsidRDefault="0028042C">
      <w:pPr>
        <w:rPr>
          <w:color w:val="222222"/>
          <w:highlight w:val="white"/>
        </w:rPr>
      </w:pPr>
    </w:p>
    <w:p w14:paraId="7611F104" w14:textId="77777777" w:rsidR="0028042C" w:rsidRDefault="0028042C">
      <w:pPr>
        <w:rPr>
          <w:color w:val="222222"/>
          <w:highlight w:val="white"/>
        </w:rPr>
      </w:pPr>
    </w:p>
    <w:p w14:paraId="29581C51" w14:textId="77777777" w:rsidR="0028042C" w:rsidRDefault="0028042C">
      <w:pPr>
        <w:rPr>
          <w:color w:val="222222"/>
          <w:highlight w:val="white"/>
        </w:rPr>
      </w:pPr>
    </w:p>
    <w:p w14:paraId="34431EA0" w14:textId="77777777" w:rsidR="0028042C" w:rsidRDefault="0028042C">
      <w:pPr>
        <w:rPr>
          <w:color w:val="222222"/>
          <w:highlight w:val="white"/>
        </w:rPr>
      </w:pPr>
    </w:p>
    <w:p w14:paraId="0DFAB9BE" w14:textId="77777777" w:rsidR="0028042C" w:rsidRDefault="0028042C">
      <w:pPr>
        <w:rPr>
          <w:color w:val="222222"/>
          <w:highlight w:val="white"/>
        </w:rPr>
      </w:pPr>
    </w:p>
    <w:p w14:paraId="66B46ACA" w14:textId="77777777" w:rsidR="0028042C" w:rsidRDefault="00DE2ACC">
      <w:pPr>
        <w:numPr>
          <w:ilvl w:val="0"/>
          <w:numId w:val="6"/>
        </w:numPr>
        <w:contextualSpacing/>
        <w:rPr>
          <w:color w:val="222222"/>
          <w:highlight w:val="white"/>
        </w:rPr>
      </w:pPr>
      <w:r>
        <w:rPr>
          <w:color w:val="222222"/>
          <w:highlight w:val="white"/>
        </w:rPr>
        <w:t xml:space="preserve">Use the </w:t>
      </w:r>
      <w:hyperlink r:id="rId12">
        <w:r>
          <w:rPr>
            <w:color w:val="1155CC"/>
            <w:highlight w:val="white"/>
            <w:u w:val="single"/>
          </w:rPr>
          <w:t xml:space="preserve">codon chart </w:t>
        </w:r>
      </w:hyperlink>
      <w:r>
        <w:rPr>
          <w:color w:val="222222"/>
          <w:highlight w:val="white"/>
        </w:rPr>
        <w:t xml:space="preserve"> to translate the mRNA into the amino acid sequence. </w:t>
      </w:r>
    </w:p>
    <w:p w14:paraId="3271AD23" w14:textId="77777777" w:rsidR="0028042C" w:rsidRDefault="0028042C">
      <w:pPr>
        <w:rPr>
          <w:color w:val="222222"/>
          <w:highlight w:val="white"/>
        </w:rPr>
      </w:pPr>
    </w:p>
    <w:p w14:paraId="4E0BE4D1" w14:textId="77777777" w:rsidR="0028042C" w:rsidRDefault="0028042C">
      <w:pPr>
        <w:rPr>
          <w:color w:val="222222"/>
          <w:highlight w:val="white"/>
        </w:rPr>
      </w:pPr>
    </w:p>
    <w:p w14:paraId="3955FC3E" w14:textId="77777777" w:rsidR="0028042C" w:rsidRDefault="0028042C">
      <w:pPr>
        <w:rPr>
          <w:color w:val="222222"/>
          <w:highlight w:val="white"/>
        </w:rPr>
      </w:pPr>
    </w:p>
    <w:p w14:paraId="32BAB9F4" w14:textId="77777777" w:rsidR="0028042C" w:rsidRDefault="0028042C">
      <w:pPr>
        <w:rPr>
          <w:color w:val="222222"/>
          <w:highlight w:val="white"/>
        </w:rPr>
      </w:pPr>
    </w:p>
    <w:p w14:paraId="407CA0E7" w14:textId="77777777" w:rsidR="0028042C" w:rsidRDefault="0028042C">
      <w:pPr>
        <w:rPr>
          <w:color w:val="222222"/>
          <w:highlight w:val="white"/>
        </w:rPr>
      </w:pPr>
    </w:p>
    <w:p w14:paraId="0835A0E7" w14:textId="77777777" w:rsidR="0028042C" w:rsidRDefault="00DE2ACC">
      <w:pPr>
        <w:numPr>
          <w:ilvl w:val="0"/>
          <w:numId w:val="6"/>
        </w:numPr>
        <w:contextualSpacing/>
        <w:rPr>
          <w:color w:val="222222"/>
          <w:highlight w:val="white"/>
        </w:rPr>
      </w:pPr>
      <w:r>
        <w:rPr>
          <w:color w:val="222222"/>
          <w:highlight w:val="white"/>
        </w:rPr>
        <w:t xml:space="preserve">Delete the underlined code above and copy the frame shifted DNA below. </w:t>
      </w:r>
    </w:p>
    <w:p w14:paraId="0C6A6F60" w14:textId="77777777" w:rsidR="0028042C" w:rsidRDefault="0028042C">
      <w:pPr>
        <w:rPr>
          <w:color w:val="222222"/>
          <w:highlight w:val="white"/>
        </w:rPr>
      </w:pPr>
    </w:p>
    <w:p w14:paraId="6A3F64DA" w14:textId="77777777" w:rsidR="0028042C" w:rsidRDefault="0028042C">
      <w:pPr>
        <w:rPr>
          <w:color w:val="222222"/>
          <w:highlight w:val="white"/>
        </w:rPr>
      </w:pPr>
    </w:p>
    <w:p w14:paraId="1D0CFB21" w14:textId="77777777" w:rsidR="0028042C" w:rsidRDefault="0028042C">
      <w:pPr>
        <w:rPr>
          <w:color w:val="222222"/>
          <w:highlight w:val="white"/>
        </w:rPr>
      </w:pPr>
    </w:p>
    <w:p w14:paraId="160AE51A" w14:textId="77777777" w:rsidR="0028042C" w:rsidRDefault="0028042C">
      <w:pPr>
        <w:rPr>
          <w:color w:val="222222"/>
          <w:highlight w:val="white"/>
        </w:rPr>
      </w:pPr>
    </w:p>
    <w:p w14:paraId="3B03CE31" w14:textId="77777777" w:rsidR="0028042C" w:rsidRDefault="0028042C">
      <w:pPr>
        <w:rPr>
          <w:color w:val="222222"/>
          <w:highlight w:val="white"/>
        </w:rPr>
      </w:pPr>
    </w:p>
    <w:p w14:paraId="1C0A0D0A" w14:textId="77777777" w:rsidR="0028042C" w:rsidRDefault="00DE2ACC">
      <w:pPr>
        <w:numPr>
          <w:ilvl w:val="0"/>
          <w:numId w:val="6"/>
        </w:numPr>
        <w:contextualSpacing/>
        <w:rPr>
          <w:color w:val="222222"/>
          <w:highlight w:val="white"/>
        </w:rPr>
      </w:pPr>
      <w:r>
        <w:rPr>
          <w:color w:val="222222"/>
          <w:highlight w:val="white"/>
        </w:rPr>
        <w:t xml:space="preserve">Transcribe and translate into the mutated mRNA and amino acid sequence below. </w:t>
      </w:r>
    </w:p>
    <w:p w14:paraId="48A2E6F0" w14:textId="77777777" w:rsidR="0028042C" w:rsidRDefault="0028042C">
      <w:pPr>
        <w:rPr>
          <w:color w:val="222222"/>
          <w:highlight w:val="white"/>
        </w:rPr>
      </w:pPr>
    </w:p>
    <w:p w14:paraId="2C8268C5" w14:textId="77777777" w:rsidR="0028042C" w:rsidRDefault="0028042C">
      <w:pPr>
        <w:rPr>
          <w:color w:val="222222"/>
          <w:highlight w:val="white"/>
        </w:rPr>
      </w:pPr>
    </w:p>
    <w:p w14:paraId="21FA1068" w14:textId="77777777" w:rsidR="0028042C" w:rsidRDefault="0028042C">
      <w:pPr>
        <w:rPr>
          <w:color w:val="222222"/>
          <w:highlight w:val="white"/>
        </w:rPr>
      </w:pPr>
    </w:p>
    <w:p w14:paraId="11541A29" w14:textId="77777777" w:rsidR="0028042C" w:rsidRDefault="0028042C">
      <w:pPr>
        <w:rPr>
          <w:color w:val="222222"/>
          <w:highlight w:val="white"/>
        </w:rPr>
      </w:pPr>
    </w:p>
    <w:p w14:paraId="627C4918" w14:textId="77777777" w:rsidR="0028042C" w:rsidRDefault="0028042C">
      <w:pPr>
        <w:rPr>
          <w:color w:val="222222"/>
          <w:highlight w:val="white"/>
        </w:rPr>
      </w:pPr>
    </w:p>
    <w:p w14:paraId="550D1262" w14:textId="77777777" w:rsidR="0028042C" w:rsidRDefault="0028042C">
      <w:pPr>
        <w:rPr>
          <w:color w:val="222222"/>
          <w:highlight w:val="white"/>
        </w:rPr>
      </w:pPr>
    </w:p>
    <w:p w14:paraId="71870C52" w14:textId="77777777" w:rsidR="0028042C" w:rsidRDefault="00DE2ACC">
      <w:pPr>
        <w:numPr>
          <w:ilvl w:val="0"/>
          <w:numId w:val="6"/>
        </w:numPr>
        <w:contextualSpacing/>
        <w:rPr>
          <w:color w:val="222222"/>
          <w:highlight w:val="white"/>
        </w:rPr>
      </w:pPr>
      <w:r>
        <w:rPr>
          <w:color w:val="222222"/>
          <w:highlight w:val="white"/>
        </w:rPr>
        <w:t xml:space="preserve">What percent of the amino acids changed after the frameshift? This is a small portion of the 4,440 base CFTR gene. Explain how this small mutation of 30 bases could affect the shape and function of the protein. </w:t>
      </w:r>
    </w:p>
    <w:p w14:paraId="64F09402" w14:textId="77777777" w:rsidR="0028042C" w:rsidRDefault="0028042C">
      <w:pPr>
        <w:rPr>
          <w:color w:val="222222"/>
          <w:highlight w:val="white"/>
        </w:rPr>
      </w:pPr>
    </w:p>
    <w:p w14:paraId="7C6AF20E" w14:textId="77777777" w:rsidR="0028042C" w:rsidRDefault="00DE2ACC">
      <w:pPr>
        <w:pStyle w:val="Heading3"/>
      </w:pPr>
      <w:bookmarkStart w:id="6" w:name="_y66hfruyc20i" w:colFirst="0" w:colLast="0"/>
      <w:bookmarkEnd w:id="6"/>
      <w:r>
        <w:lastRenderedPageBreak/>
        <w:t>Delta F508 Effect on Protein Structure</w:t>
      </w:r>
    </w:p>
    <w:p w14:paraId="2DD5016B" w14:textId="77777777" w:rsidR="0028042C" w:rsidRDefault="00DE2ACC">
      <w:pPr>
        <w:rPr>
          <w:color w:val="222222"/>
          <w:highlight w:val="white"/>
        </w:rPr>
      </w:pPr>
      <w:r>
        <w:rPr>
          <w:color w:val="222222"/>
          <w:highlight w:val="white"/>
        </w:rPr>
        <w:t>The Delta F508 mutation reduces the number of functioning CFTR proteins at the surface of the epithelial cell membrane. The CFTR protein contains two transmembrane domains (MSD1 and MSD2), two nuclear binding domains (NBD1 and NBD2) and a regulatory domain (R). The NBD domains bind ATP which allows the channel to open and transmit Cl</w:t>
      </w:r>
      <w:r>
        <w:rPr>
          <w:color w:val="222222"/>
          <w:highlight w:val="white"/>
          <w:vertAlign w:val="superscript"/>
        </w:rPr>
        <w:t>-</w:t>
      </w:r>
      <w:r>
        <w:rPr>
          <w:color w:val="222222"/>
          <w:highlight w:val="white"/>
        </w:rPr>
        <w:t xml:space="preserve"> ions.  The R domain is a regulatory domain that must be phosphorylated </w:t>
      </w:r>
      <w:proofErr w:type="gramStart"/>
      <w:r>
        <w:rPr>
          <w:color w:val="222222"/>
          <w:highlight w:val="white"/>
        </w:rPr>
        <w:t>in order for</w:t>
      </w:r>
      <w:proofErr w:type="gramEnd"/>
      <w:r>
        <w:rPr>
          <w:color w:val="222222"/>
          <w:highlight w:val="white"/>
        </w:rPr>
        <w:t xml:space="preserve"> the channel to open. A protein kinase phosphorylates the R domain at the end of a signal transduction pathway</w:t>
      </w:r>
      <w:r>
        <w:rPr>
          <w:color w:val="222222"/>
          <w:highlight w:val="white"/>
          <w:vertAlign w:val="superscript"/>
        </w:rPr>
        <w:footnoteReference w:id="9"/>
      </w:r>
      <w:r>
        <w:rPr>
          <w:color w:val="222222"/>
          <w:highlight w:val="white"/>
        </w:rPr>
        <w:t xml:space="preserve">.  </w:t>
      </w:r>
    </w:p>
    <w:p w14:paraId="5FA422F0" w14:textId="77777777" w:rsidR="0028042C" w:rsidRDefault="0028042C">
      <w:pPr>
        <w:rPr>
          <w:color w:val="222222"/>
          <w:highlight w:val="white"/>
        </w:rPr>
      </w:pPr>
    </w:p>
    <w:p w14:paraId="36DD2C73" w14:textId="77777777" w:rsidR="0028042C" w:rsidRDefault="00DE2ACC">
      <w:pPr>
        <w:jc w:val="center"/>
        <w:rPr>
          <w:rFonts w:ascii="Verdana" w:eastAsia="Verdana" w:hAnsi="Verdana" w:cs="Verdana"/>
          <w:color w:val="222222"/>
          <w:sz w:val="21"/>
          <w:szCs w:val="21"/>
          <w:highlight w:val="white"/>
        </w:rPr>
      </w:pPr>
      <w:r>
        <w:rPr>
          <w:rFonts w:ascii="Verdana" w:eastAsia="Verdana" w:hAnsi="Verdana" w:cs="Verdana"/>
          <w:color w:val="222222"/>
          <w:sz w:val="21"/>
          <w:szCs w:val="21"/>
          <w:highlight w:val="white"/>
        </w:rPr>
        <w:t xml:space="preserve"> </w:t>
      </w:r>
      <w:r>
        <w:rPr>
          <w:rFonts w:ascii="Verdana" w:eastAsia="Verdana" w:hAnsi="Verdana" w:cs="Verdana"/>
          <w:noProof/>
          <w:color w:val="222222"/>
          <w:sz w:val="21"/>
          <w:szCs w:val="21"/>
          <w:highlight w:val="white"/>
        </w:rPr>
        <w:drawing>
          <wp:inline distT="114300" distB="114300" distL="114300" distR="114300" wp14:anchorId="66449954" wp14:editId="70BB10E4">
            <wp:extent cx="4415582" cy="2885221"/>
            <wp:effectExtent l="12700" t="12700" r="12700" b="1270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415582" cy="2885221"/>
                    </a:xfrm>
                    <a:prstGeom prst="rect">
                      <a:avLst/>
                    </a:prstGeom>
                    <a:ln w="12700">
                      <a:solidFill>
                        <a:srgbClr val="000000"/>
                      </a:solidFill>
                      <a:prstDash val="solid"/>
                    </a:ln>
                  </pic:spPr>
                </pic:pic>
              </a:graphicData>
            </a:graphic>
          </wp:inline>
        </w:drawing>
      </w:r>
    </w:p>
    <w:p w14:paraId="5DFF1AC2" w14:textId="77777777" w:rsidR="0028042C" w:rsidRDefault="0028042C">
      <w:pPr>
        <w:rPr>
          <w:rFonts w:ascii="Verdana" w:eastAsia="Verdana" w:hAnsi="Verdana" w:cs="Verdana"/>
          <w:color w:val="222222"/>
          <w:sz w:val="21"/>
          <w:szCs w:val="21"/>
          <w:highlight w:val="white"/>
        </w:rPr>
      </w:pPr>
    </w:p>
    <w:p w14:paraId="1EB25C4B" w14:textId="77777777" w:rsidR="0028042C" w:rsidRDefault="0028042C">
      <w:pPr>
        <w:rPr>
          <w:rFonts w:ascii="Verdana" w:eastAsia="Verdana" w:hAnsi="Verdana" w:cs="Verdana"/>
          <w:color w:val="222222"/>
          <w:sz w:val="21"/>
          <w:szCs w:val="21"/>
          <w:highlight w:val="white"/>
        </w:rPr>
      </w:pPr>
    </w:p>
    <w:tbl>
      <w:tblPr>
        <w:tblStyle w:val="a0"/>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5"/>
        <w:gridCol w:w="2775"/>
        <w:gridCol w:w="5970"/>
      </w:tblGrid>
      <w:tr w:rsidR="0028042C" w14:paraId="4B8F2EF0" w14:textId="77777777">
        <w:tc>
          <w:tcPr>
            <w:tcW w:w="2055" w:type="dxa"/>
            <w:shd w:val="clear" w:color="auto" w:fill="auto"/>
            <w:tcMar>
              <w:top w:w="100" w:type="dxa"/>
              <w:left w:w="100" w:type="dxa"/>
              <w:bottom w:w="100" w:type="dxa"/>
              <w:right w:w="100" w:type="dxa"/>
            </w:tcMar>
          </w:tcPr>
          <w:p w14:paraId="3B8B7E97" w14:textId="77777777" w:rsidR="0028042C" w:rsidRDefault="00DE2ACC">
            <w:pPr>
              <w:widowControl w:val="0"/>
              <w:spacing w:line="240" w:lineRule="auto"/>
              <w:rPr>
                <w:rFonts w:ascii="Verdana" w:eastAsia="Verdana" w:hAnsi="Verdana" w:cs="Verdana"/>
                <w:color w:val="222222"/>
                <w:sz w:val="21"/>
                <w:szCs w:val="21"/>
                <w:highlight w:val="white"/>
              </w:rPr>
            </w:pPr>
            <w:r>
              <w:rPr>
                <w:rFonts w:ascii="Verdana" w:eastAsia="Verdana" w:hAnsi="Verdana" w:cs="Verdana"/>
                <w:color w:val="222222"/>
                <w:sz w:val="21"/>
                <w:szCs w:val="21"/>
                <w:highlight w:val="white"/>
              </w:rPr>
              <w:t>Mutation Name</w:t>
            </w:r>
          </w:p>
        </w:tc>
        <w:tc>
          <w:tcPr>
            <w:tcW w:w="2775" w:type="dxa"/>
            <w:shd w:val="clear" w:color="auto" w:fill="auto"/>
            <w:tcMar>
              <w:top w:w="100" w:type="dxa"/>
              <w:left w:w="100" w:type="dxa"/>
              <w:bottom w:w="100" w:type="dxa"/>
              <w:right w:w="100" w:type="dxa"/>
            </w:tcMar>
          </w:tcPr>
          <w:p w14:paraId="71843C6C" w14:textId="77777777" w:rsidR="0028042C" w:rsidRDefault="00DE2ACC">
            <w:pPr>
              <w:widowControl w:val="0"/>
              <w:spacing w:line="240" w:lineRule="auto"/>
              <w:rPr>
                <w:rFonts w:ascii="Verdana" w:eastAsia="Verdana" w:hAnsi="Verdana" w:cs="Verdana"/>
                <w:color w:val="222222"/>
                <w:sz w:val="21"/>
                <w:szCs w:val="21"/>
                <w:highlight w:val="white"/>
              </w:rPr>
            </w:pPr>
            <w:r>
              <w:rPr>
                <w:rFonts w:ascii="Verdana" w:eastAsia="Verdana" w:hAnsi="Verdana" w:cs="Verdana"/>
                <w:color w:val="222222"/>
                <w:sz w:val="21"/>
                <w:szCs w:val="21"/>
                <w:highlight w:val="white"/>
              </w:rPr>
              <w:t>Protein Region Affected</w:t>
            </w:r>
          </w:p>
        </w:tc>
        <w:tc>
          <w:tcPr>
            <w:tcW w:w="5970" w:type="dxa"/>
            <w:shd w:val="clear" w:color="auto" w:fill="auto"/>
            <w:tcMar>
              <w:top w:w="100" w:type="dxa"/>
              <w:left w:w="100" w:type="dxa"/>
              <w:bottom w:w="100" w:type="dxa"/>
              <w:right w:w="100" w:type="dxa"/>
            </w:tcMar>
          </w:tcPr>
          <w:p w14:paraId="790EE5B4" w14:textId="77777777" w:rsidR="0028042C" w:rsidRDefault="00DE2ACC">
            <w:pPr>
              <w:widowControl w:val="0"/>
              <w:spacing w:line="240" w:lineRule="auto"/>
              <w:rPr>
                <w:rFonts w:ascii="Verdana" w:eastAsia="Verdana" w:hAnsi="Verdana" w:cs="Verdana"/>
                <w:color w:val="222222"/>
                <w:sz w:val="21"/>
                <w:szCs w:val="21"/>
                <w:highlight w:val="white"/>
              </w:rPr>
            </w:pPr>
            <w:r>
              <w:rPr>
                <w:rFonts w:ascii="Verdana" w:eastAsia="Verdana" w:hAnsi="Verdana" w:cs="Verdana"/>
                <w:color w:val="222222"/>
                <w:sz w:val="21"/>
                <w:szCs w:val="21"/>
                <w:highlight w:val="white"/>
              </w:rPr>
              <w:t>Altered Function</w:t>
            </w:r>
          </w:p>
        </w:tc>
      </w:tr>
      <w:tr w:rsidR="0028042C" w14:paraId="4D165865" w14:textId="77777777">
        <w:tc>
          <w:tcPr>
            <w:tcW w:w="2055" w:type="dxa"/>
            <w:shd w:val="clear" w:color="auto" w:fill="auto"/>
            <w:tcMar>
              <w:top w:w="100" w:type="dxa"/>
              <w:left w:w="100" w:type="dxa"/>
              <w:bottom w:w="100" w:type="dxa"/>
              <w:right w:w="100" w:type="dxa"/>
            </w:tcMar>
          </w:tcPr>
          <w:p w14:paraId="4F089377" w14:textId="77777777" w:rsidR="0028042C" w:rsidRDefault="00DE2ACC">
            <w:pPr>
              <w:widowControl w:val="0"/>
              <w:spacing w:line="240" w:lineRule="auto"/>
              <w:rPr>
                <w:rFonts w:ascii="Verdana" w:eastAsia="Verdana" w:hAnsi="Verdana" w:cs="Verdana"/>
                <w:color w:val="222222"/>
                <w:sz w:val="21"/>
                <w:szCs w:val="21"/>
                <w:highlight w:val="white"/>
              </w:rPr>
            </w:pPr>
            <w:r>
              <w:rPr>
                <w:rFonts w:ascii="Verdana" w:eastAsia="Verdana" w:hAnsi="Verdana" w:cs="Verdana"/>
                <w:color w:val="222222"/>
                <w:sz w:val="21"/>
                <w:szCs w:val="21"/>
                <w:highlight w:val="white"/>
              </w:rPr>
              <w:t>R117H</w:t>
            </w:r>
          </w:p>
        </w:tc>
        <w:tc>
          <w:tcPr>
            <w:tcW w:w="2775" w:type="dxa"/>
            <w:shd w:val="clear" w:color="auto" w:fill="auto"/>
            <w:tcMar>
              <w:top w:w="100" w:type="dxa"/>
              <w:left w:w="100" w:type="dxa"/>
              <w:bottom w:w="100" w:type="dxa"/>
              <w:right w:w="100" w:type="dxa"/>
            </w:tcMar>
          </w:tcPr>
          <w:p w14:paraId="170E13C0" w14:textId="77777777" w:rsidR="0028042C" w:rsidRDefault="00DE2ACC">
            <w:pPr>
              <w:widowControl w:val="0"/>
              <w:spacing w:line="240" w:lineRule="auto"/>
              <w:jc w:val="center"/>
              <w:rPr>
                <w:rFonts w:ascii="Verdana" w:eastAsia="Verdana" w:hAnsi="Verdana" w:cs="Verdana"/>
                <w:color w:val="222222"/>
                <w:sz w:val="21"/>
                <w:szCs w:val="21"/>
                <w:highlight w:val="white"/>
              </w:rPr>
            </w:pPr>
            <w:r>
              <w:rPr>
                <w:rFonts w:ascii="Verdana" w:eastAsia="Verdana" w:hAnsi="Verdana" w:cs="Verdana"/>
                <w:color w:val="222222"/>
                <w:sz w:val="21"/>
                <w:szCs w:val="21"/>
                <w:highlight w:val="white"/>
              </w:rPr>
              <w:t>MSD1</w:t>
            </w:r>
          </w:p>
        </w:tc>
        <w:tc>
          <w:tcPr>
            <w:tcW w:w="5970" w:type="dxa"/>
            <w:shd w:val="clear" w:color="auto" w:fill="auto"/>
            <w:tcMar>
              <w:top w:w="100" w:type="dxa"/>
              <w:left w:w="100" w:type="dxa"/>
              <w:bottom w:w="100" w:type="dxa"/>
              <w:right w:w="100" w:type="dxa"/>
            </w:tcMar>
          </w:tcPr>
          <w:p w14:paraId="12186639" w14:textId="77777777" w:rsidR="0028042C" w:rsidRDefault="00DE2ACC">
            <w:pPr>
              <w:widowControl w:val="0"/>
              <w:spacing w:line="240" w:lineRule="auto"/>
              <w:rPr>
                <w:rFonts w:ascii="Verdana" w:eastAsia="Verdana" w:hAnsi="Verdana" w:cs="Verdana"/>
                <w:color w:val="222222"/>
                <w:sz w:val="21"/>
                <w:szCs w:val="21"/>
                <w:highlight w:val="white"/>
              </w:rPr>
            </w:pPr>
            <w:r>
              <w:rPr>
                <w:rFonts w:ascii="Verdana" w:eastAsia="Verdana" w:hAnsi="Verdana" w:cs="Verdana"/>
                <w:color w:val="222222"/>
                <w:sz w:val="21"/>
                <w:szCs w:val="21"/>
                <w:highlight w:val="white"/>
              </w:rPr>
              <w:t xml:space="preserve">Affects ability of </w:t>
            </w:r>
            <w:r>
              <w:rPr>
                <w:color w:val="222222"/>
                <w:highlight w:val="white"/>
              </w:rPr>
              <w:t>Cl</w:t>
            </w:r>
            <w:r>
              <w:rPr>
                <w:color w:val="222222"/>
                <w:highlight w:val="white"/>
                <w:vertAlign w:val="superscript"/>
              </w:rPr>
              <w:t>-</w:t>
            </w:r>
            <w:r>
              <w:rPr>
                <w:color w:val="222222"/>
                <w:highlight w:val="white"/>
              </w:rPr>
              <w:t xml:space="preserve"> ions to pass</w:t>
            </w:r>
          </w:p>
        </w:tc>
      </w:tr>
      <w:tr w:rsidR="0028042C" w14:paraId="45F88B37" w14:textId="77777777">
        <w:tc>
          <w:tcPr>
            <w:tcW w:w="2055" w:type="dxa"/>
            <w:shd w:val="clear" w:color="auto" w:fill="auto"/>
            <w:tcMar>
              <w:top w:w="100" w:type="dxa"/>
              <w:left w:w="100" w:type="dxa"/>
              <w:bottom w:w="100" w:type="dxa"/>
              <w:right w:w="100" w:type="dxa"/>
            </w:tcMar>
          </w:tcPr>
          <w:p w14:paraId="6D4A03AA" w14:textId="77777777" w:rsidR="0028042C" w:rsidRDefault="00DE2ACC">
            <w:pPr>
              <w:widowControl w:val="0"/>
              <w:spacing w:line="240" w:lineRule="auto"/>
              <w:rPr>
                <w:rFonts w:ascii="Verdana" w:eastAsia="Verdana" w:hAnsi="Verdana" w:cs="Verdana"/>
                <w:color w:val="222222"/>
                <w:sz w:val="21"/>
                <w:szCs w:val="21"/>
                <w:highlight w:val="white"/>
              </w:rPr>
            </w:pPr>
            <w:r>
              <w:rPr>
                <w:rFonts w:ascii="Verdana" w:eastAsia="Verdana" w:hAnsi="Verdana" w:cs="Verdana"/>
                <w:color w:val="222222"/>
                <w:sz w:val="21"/>
                <w:szCs w:val="21"/>
                <w:highlight w:val="white"/>
              </w:rPr>
              <w:t>Delta F508</w:t>
            </w:r>
          </w:p>
        </w:tc>
        <w:tc>
          <w:tcPr>
            <w:tcW w:w="2775" w:type="dxa"/>
            <w:shd w:val="clear" w:color="auto" w:fill="auto"/>
            <w:tcMar>
              <w:top w:w="100" w:type="dxa"/>
              <w:left w:w="100" w:type="dxa"/>
              <w:bottom w:w="100" w:type="dxa"/>
              <w:right w:w="100" w:type="dxa"/>
            </w:tcMar>
          </w:tcPr>
          <w:p w14:paraId="4B7B7CF4" w14:textId="77777777" w:rsidR="0028042C" w:rsidRDefault="00DE2ACC">
            <w:pPr>
              <w:widowControl w:val="0"/>
              <w:spacing w:line="240" w:lineRule="auto"/>
              <w:jc w:val="center"/>
              <w:rPr>
                <w:rFonts w:ascii="Verdana" w:eastAsia="Verdana" w:hAnsi="Verdana" w:cs="Verdana"/>
                <w:color w:val="222222"/>
                <w:sz w:val="21"/>
                <w:szCs w:val="21"/>
                <w:highlight w:val="white"/>
              </w:rPr>
            </w:pPr>
            <w:r>
              <w:rPr>
                <w:rFonts w:ascii="Verdana" w:eastAsia="Verdana" w:hAnsi="Verdana" w:cs="Verdana"/>
                <w:color w:val="222222"/>
                <w:sz w:val="21"/>
                <w:szCs w:val="21"/>
                <w:highlight w:val="white"/>
              </w:rPr>
              <w:t>NBD1</w:t>
            </w:r>
          </w:p>
        </w:tc>
        <w:tc>
          <w:tcPr>
            <w:tcW w:w="5970" w:type="dxa"/>
            <w:shd w:val="clear" w:color="auto" w:fill="auto"/>
            <w:tcMar>
              <w:top w:w="100" w:type="dxa"/>
              <w:left w:w="100" w:type="dxa"/>
              <w:bottom w:w="100" w:type="dxa"/>
              <w:right w:w="100" w:type="dxa"/>
            </w:tcMar>
          </w:tcPr>
          <w:p w14:paraId="5B758191" w14:textId="77777777" w:rsidR="0028042C" w:rsidRDefault="00DE2ACC">
            <w:pPr>
              <w:widowControl w:val="0"/>
              <w:spacing w:line="240" w:lineRule="auto"/>
              <w:rPr>
                <w:rFonts w:ascii="Verdana" w:eastAsia="Verdana" w:hAnsi="Verdana" w:cs="Verdana"/>
                <w:color w:val="222222"/>
                <w:sz w:val="21"/>
                <w:szCs w:val="21"/>
                <w:highlight w:val="white"/>
              </w:rPr>
            </w:pPr>
            <w:r>
              <w:rPr>
                <w:rFonts w:ascii="Verdana" w:eastAsia="Verdana" w:hAnsi="Verdana" w:cs="Verdana"/>
                <w:color w:val="222222"/>
                <w:sz w:val="21"/>
                <w:szCs w:val="21"/>
                <w:highlight w:val="white"/>
              </w:rPr>
              <w:t xml:space="preserve">Ability for protein to leave ER; affects </w:t>
            </w:r>
            <w:r>
              <w:rPr>
                <w:color w:val="222222"/>
                <w:highlight w:val="white"/>
              </w:rPr>
              <w:t>Cl</w:t>
            </w:r>
            <w:r>
              <w:rPr>
                <w:color w:val="222222"/>
                <w:highlight w:val="white"/>
                <w:vertAlign w:val="superscript"/>
              </w:rPr>
              <w:t>-</w:t>
            </w:r>
            <w:r>
              <w:rPr>
                <w:color w:val="222222"/>
                <w:highlight w:val="white"/>
              </w:rPr>
              <w:t xml:space="preserve"> ion transport</w:t>
            </w:r>
          </w:p>
        </w:tc>
      </w:tr>
      <w:tr w:rsidR="0028042C" w14:paraId="69D5A707" w14:textId="77777777">
        <w:tc>
          <w:tcPr>
            <w:tcW w:w="2055" w:type="dxa"/>
            <w:shd w:val="clear" w:color="auto" w:fill="auto"/>
            <w:tcMar>
              <w:top w:w="100" w:type="dxa"/>
              <w:left w:w="100" w:type="dxa"/>
              <w:bottom w:w="100" w:type="dxa"/>
              <w:right w:w="100" w:type="dxa"/>
            </w:tcMar>
          </w:tcPr>
          <w:p w14:paraId="6B019A44" w14:textId="77777777" w:rsidR="0028042C" w:rsidRDefault="00DE2ACC">
            <w:pPr>
              <w:widowControl w:val="0"/>
              <w:spacing w:line="240" w:lineRule="auto"/>
              <w:rPr>
                <w:rFonts w:ascii="Verdana" w:eastAsia="Verdana" w:hAnsi="Verdana" w:cs="Verdana"/>
                <w:color w:val="222222"/>
                <w:sz w:val="21"/>
                <w:szCs w:val="21"/>
                <w:highlight w:val="white"/>
              </w:rPr>
            </w:pPr>
            <w:r>
              <w:rPr>
                <w:rFonts w:ascii="Verdana" w:eastAsia="Verdana" w:hAnsi="Verdana" w:cs="Verdana"/>
                <w:color w:val="222222"/>
                <w:sz w:val="21"/>
                <w:szCs w:val="21"/>
                <w:highlight w:val="white"/>
              </w:rPr>
              <w:t>G551D</w:t>
            </w:r>
          </w:p>
        </w:tc>
        <w:tc>
          <w:tcPr>
            <w:tcW w:w="2775" w:type="dxa"/>
            <w:shd w:val="clear" w:color="auto" w:fill="auto"/>
            <w:tcMar>
              <w:top w:w="100" w:type="dxa"/>
              <w:left w:w="100" w:type="dxa"/>
              <w:bottom w:w="100" w:type="dxa"/>
              <w:right w:w="100" w:type="dxa"/>
            </w:tcMar>
          </w:tcPr>
          <w:p w14:paraId="37880203" w14:textId="77777777" w:rsidR="0028042C" w:rsidRDefault="00DE2ACC">
            <w:pPr>
              <w:widowControl w:val="0"/>
              <w:spacing w:line="240" w:lineRule="auto"/>
              <w:jc w:val="center"/>
              <w:rPr>
                <w:rFonts w:ascii="Verdana" w:eastAsia="Verdana" w:hAnsi="Verdana" w:cs="Verdana"/>
                <w:color w:val="222222"/>
                <w:sz w:val="21"/>
                <w:szCs w:val="21"/>
                <w:highlight w:val="white"/>
              </w:rPr>
            </w:pPr>
            <w:r>
              <w:rPr>
                <w:rFonts w:ascii="Verdana" w:eastAsia="Verdana" w:hAnsi="Verdana" w:cs="Verdana"/>
                <w:color w:val="222222"/>
                <w:sz w:val="21"/>
                <w:szCs w:val="21"/>
                <w:highlight w:val="white"/>
              </w:rPr>
              <w:t>NBD1</w:t>
            </w:r>
          </w:p>
        </w:tc>
        <w:tc>
          <w:tcPr>
            <w:tcW w:w="5970" w:type="dxa"/>
            <w:shd w:val="clear" w:color="auto" w:fill="auto"/>
            <w:tcMar>
              <w:top w:w="100" w:type="dxa"/>
              <w:left w:w="100" w:type="dxa"/>
              <w:bottom w:w="100" w:type="dxa"/>
              <w:right w:w="100" w:type="dxa"/>
            </w:tcMar>
          </w:tcPr>
          <w:p w14:paraId="77C208B9" w14:textId="77777777" w:rsidR="0028042C" w:rsidRDefault="00DE2ACC">
            <w:pPr>
              <w:widowControl w:val="0"/>
              <w:spacing w:line="240" w:lineRule="auto"/>
              <w:rPr>
                <w:rFonts w:ascii="Verdana" w:eastAsia="Verdana" w:hAnsi="Verdana" w:cs="Verdana"/>
                <w:color w:val="222222"/>
                <w:sz w:val="21"/>
                <w:szCs w:val="21"/>
                <w:highlight w:val="white"/>
              </w:rPr>
            </w:pPr>
            <w:r>
              <w:rPr>
                <w:rFonts w:ascii="Verdana" w:eastAsia="Verdana" w:hAnsi="Verdana" w:cs="Verdana"/>
                <w:color w:val="222222"/>
                <w:sz w:val="21"/>
                <w:szCs w:val="21"/>
                <w:highlight w:val="white"/>
              </w:rPr>
              <w:t>Affects activation by ATP</w:t>
            </w:r>
          </w:p>
        </w:tc>
      </w:tr>
      <w:tr w:rsidR="0028042C" w14:paraId="2D060D94" w14:textId="77777777">
        <w:tc>
          <w:tcPr>
            <w:tcW w:w="2055" w:type="dxa"/>
            <w:shd w:val="clear" w:color="auto" w:fill="auto"/>
            <w:tcMar>
              <w:top w:w="100" w:type="dxa"/>
              <w:left w:w="100" w:type="dxa"/>
              <w:bottom w:w="100" w:type="dxa"/>
              <w:right w:w="100" w:type="dxa"/>
            </w:tcMar>
          </w:tcPr>
          <w:p w14:paraId="4475A144" w14:textId="77777777" w:rsidR="0028042C" w:rsidRDefault="00DE2ACC">
            <w:pPr>
              <w:widowControl w:val="0"/>
              <w:spacing w:line="240" w:lineRule="auto"/>
              <w:rPr>
                <w:rFonts w:ascii="Verdana" w:eastAsia="Verdana" w:hAnsi="Verdana" w:cs="Verdana"/>
                <w:color w:val="222222"/>
                <w:sz w:val="21"/>
                <w:szCs w:val="21"/>
                <w:highlight w:val="white"/>
              </w:rPr>
            </w:pPr>
            <w:r>
              <w:rPr>
                <w:rFonts w:ascii="Verdana" w:eastAsia="Verdana" w:hAnsi="Verdana" w:cs="Verdana"/>
                <w:color w:val="222222"/>
                <w:sz w:val="21"/>
                <w:szCs w:val="21"/>
                <w:highlight w:val="white"/>
              </w:rPr>
              <w:t>R553X</w:t>
            </w:r>
          </w:p>
        </w:tc>
        <w:tc>
          <w:tcPr>
            <w:tcW w:w="2775" w:type="dxa"/>
            <w:shd w:val="clear" w:color="auto" w:fill="auto"/>
            <w:tcMar>
              <w:top w:w="100" w:type="dxa"/>
              <w:left w:w="100" w:type="dxa"/>
              <w:bottom w:w="100" w:type="dxa"/>
              <w:right w:w="100" w:type="dxa"/>
            </w:tcMar>
          </w:tcPr>
          <w:p w14:paraId="6FB892DB" w14:textId="77777777" w:rsidR="0028042C" w:rsidRDefault="00DE2ACC">
            <w:pPr>
              <w:widowControl w:val="0"/>
              <w:spacing w:line="240" w:lineRule="auto"/>
              <w:jc w:val="center"/>
              <w:rPr>
                <w:rFonts w:ascii="Verdana" w:eastAsia="Verdana" w:hAnsi="Verdana" w:cs="Verdana"/>
                <w:color w:val="222222"/>
                <w:sz w:val="21"/>
                <w:szCs w:val="21"/>
                <w:highlight w:val="white"/>
              </w:rPr>
            </w:pPr>
            <w:r>
              <w:rPr>
                <w:rFonts w:ascii="Verdana" w:eastAsia="Verdana" w:hAnsi="Verdana" w:cs="Verdana"/>
                <w:color w:val="222222"/>
                <w:sz w:val="21"/>
                <w:szCs w:val="21"/>
                <w:highlight w:val="white"/>
              </w:rPr>
              <w:t>NBD1</w:t>
            </w:r>
          </w:p>
        </w:tc>
        <w:tc>
          <w:tcPr>
            <w:tcW w:w="5970" w:type="dxa"/>
            <w:shd w:val="clear" w:color="auto" w:fill="auto"/>
            <w:tcMar>
              <w:top w:w="100" w:type="dxa"/>
              <w:left w:w="100" w:type="dxa"/>
              <w:bottom w:w="100" w:type="dxa"/>
              <w:right w:w="100" w:type="dxa"/>
            </w:tcMar>
          </w:tcPr>
          <w:p w14:paraId="16E6BDA4" w14:textId="77777777" w:rsidR="0028042C" w:rsidRDefault="00DE2ACC">
            <w:pPr>
              <w:widowControl w:val="0"/>
              <w:spacing w:line="240" w:lineRule="auto"/>
              <w:rPr>
                <w:rFonts w:ascii="Verdana" w:eastAsia="Verdana" w:hAnsi="Verdana" w:cs="Verdana"/>
                <w:color w:val="222222"/>
                <w:sz w:val="21"/>
                <w:szCs w:val="21"/>
                <w:highlight w:val="white"/>
              </w:rPr>
            </w:pPr>
            <w:r>
              <w:rPr>
                <w:rFonts w:ascii="Verdana" w:eastAsia="Verdana" w:hAnsi="Verdana" w:cs="Verdana"/>
                <w:color w:val="222222"/>
                <w:sz w:val="21"/>
                <w:szCs w:val="21"/>
                <w:highlight w:val="white"/>
              </w:rPr>
              <w:t>Truncates the protein; no ion channel present</w:t>
            </w:r>
          </w:p>
        </w:tc>
      </w:tr>
      <w:tr w:rsidR="0028042C" w14:paraId="520E6383" w14:textId="77777777">
        <w:tc>
          <w:tcPr>
            <w:tcW w:w="2055" w:type="dxa"/>
            <w:shd w:val="clear" w:color="auto" w:fill="auto"/>
            <w:tcMar>
              <w:top w:w="100" w:type="dxa"/>
              <w:left w:w="100" w:type="dxa"/>
              <w:bottom w:w="100" w:type="dxa"/>
              <w:right w:w="100" w:type="dxa"/>
            </w:tcMar>
          </w:tcPr>
          <w:p w14:paraId="5C43A7CD" w14:textId="77777777" w:rsidR="0028042C" w:rsidRDefault="00DE2ACC">
            <w:pPr>
              <w:widowControl w:val="0"/>
              <w:spacing w:line="240" w:lineRule="auto"/>
              <w:rPr>
                <w:rFonts w:ascii="Verdana" w:eastAsia="Verdana" w:hAnsi="Verdana" w:cs="Verdana"/>
                <w:color w:val="222222"/>
                <w:sz w:val="21"/>
                <w:szCs w:val="21"/>
                <w:highlight w:val="white"/>
              </w:rPr>
            </w:pPr>
            <w:r>
              <w:rPr>
                <w:rFonts w:ascii="Verdana" w:eastAsia="Verdana" w:hAnsi="Verdana" w:cs="Verdana"/>
                <w:color w:val="222222"/>
                <w:sz w:val="21"/>
                <w:szCs w:val="21"/>
                <w:highlight w:val="white"/>
              </w:rPr>
              <w:t>Delta 708</w:t>
            </w:r>
          </w:p>
        </w:tc>
        <w:tc>
          <w:tcPr>
            <w:tcW w:w="2775" w:type="dxa"/>
            <w:shd w:val="clear" w:color="auto" w:fill="auto"/>
            <w:tcMar>
              <w:top w:w="100" w:type="dxa"/>
              <w:left w:w="100" w:type="dxa"/>
              <w:bottom w:w="100" w:type="dxa"/>
              <w:right w:w="100" w:type="dxa"/>
            </w:tcMar>
          </w:tcPr>
          <w:p w14:paraId="2A8956CA" w14:textId="77777777" w:rsidR="0028042C" w:rsidRDefault="00DE2ACC">
            <w:pPr>
              <w:widowControl w:val="0"/>
              <w:spacing w:line="240" w:lineRule="auto"/>
              <w:jc w:val="center"/>
              <w:rPr>
                <w:rFonts w:ascii="Verdana" w:eastAsia="Verdana" w:hAnsi="Verdana" w:cs="Verdana"/>
                <w:color w:val="222222"/>
                <w:sz w:val="21"/>
                <w:szCs w:val="21"/>
                <w:highlight w:val="white"/>
              </w:rPr>
            </w:pPr>
            <w:r>
              <w:rPr>
                <w:rFonts w:ascii="Verdana" w:eastAsia="Verdana" w:hAnsi="Verdana" w:cs="Verdana"/>
                <w:color w:val="222222"/>
                <w:sz w:val="21"/>
                <w:szCs w:val="21"/>
                <w:highlight w:val="white"/>
              </w:rPr>
              <w:t>R Domain</w:t>
            </w:r>
          </w:p>
        </w:tc>
        <w:tc>
          <w:tcPr>
            <w:tcW w:w="5970" w:type="dxa"/>
            <w:shd w:val="clear" w:color="auto" w:fill="auto"/>
            <w:tcMar>
              <w:top w:w="100" w:type="dxa"/>
              <w:left w:w="100" w:type="dxa"/>
              <w:bottom w:w="100" w:type="dxa"/>
              <w:right w:w="100" w:type="dxa"/>
            </w:tcMar>
          </w:tcPr>
          <w:p w14:paraId="71D34BC3" w14:textId="77777777" w:rsidR="0028042C" w:rsidRDefault="00DE2ACC">
            <w:pPr>
              <w:widowControl w:val="0"/>
              <w:spacing w:line="240" w:lineRule="auto"/>
              <w:jc w:val="center"/>
              <w:rPr>
                <w:rFonts w:ascii="Verdana" w:eastAsia="Verdana" w:hAnsi="Verdana" w:cs="Verdana"/>
                <w:color w:val="222222"/>
                <w:sz w:val="21"/>
                <w:szCs w:val="21"/>
                <w:highlight w:val="white"/>
              </w:rPr>
            </w:pPr>
            <w:r>
              <w:rPr>
                <w:rFonts w:ascii="Verdana" w:eastAsia="Verdana" w:hAnsi="Verdana" w:cs="Verdana"/>
                <w:color w:val="222222"/>
                <w:sz w:val="21"/>
                <w:szCs w:val="21"/>
                <w:highlight w:val="white"/>
              </w:rPr>
              <w:t>??</w:t>
            </w:r>
          </w:p>
        </w:tc>
      </w:tr>
    </w:tbl>
    <w:p w14:paraId="0D0C732E" w14:textId="77777777" w:rsidR="0028042C" w:rsidRDefault="0028042C">
      <w:pPr>
        <w:rPr>
          <w:rFonts w:ascii="Verdana" w:eastAsia="Verdana" w:hAnsi="Verdana" w:cs="Verdana"/>
          <w:color w:val="222222"/>
          <w:sz w:val="21"/>
          <w:szCs w:val="21"/>
          <w:highlight w:val="white"/>
        </w:rPr>
      </w:pPr>
    </w:p>
    <w:p w14:paraId="31AB7657" w14:textId="77777777" w:rsidR="0028042C" w:rsidRDefault="00DE2ACC">
      <w:pPr>
        <w:numPr>
          <w:ilvl w:val="0"/>
          <w:numId w:val="7"/>
        </w:numPr>
        <w:contextualSpacing/>
        <w:rPr>
          <w:color w:val="222222"/>
          <w:highlight w:val="white"/>
        </w:rPr>
      </w:pPr>
      <w:r>
        <w:rPr>
          <w:color w:val="222222"/>
          <w:highlight w:val="white"/>
        </w:rPr>
        <w:t>The Delta 708 mutation occurs on the R domain of the CFTR protein. This mutation causes the channel to open without a kinase phosphorylation. Explain what effect this might have on the transport of Cl</w:t>
      </w:r>
      <w:r>
        <w:rPr>
          <w:color w:val="222222"/>
          <w:highlight w:val="white"/>
          <w:vertAlign w:val="superscript"/>
        </w:rPr>
        <w:t>-</w:t>
      </w:r>
      <w:r>
        <w:rPr>
          <w:color w:val="222222"/>
          <w:highlight w:val="white"/>
        </w:rPr>
        <w:t xml:space="preserve"> ions and the thickness of the mucus outside the membrane. </w:t>
      </w:r>
    </w:p>
    <w:p w14:paraId="19E7BE26" w14:textId="77777777" w:rsidR="0028042C" w:rsidRDefault="0028042C">
      <w:pPr>
        <w:rPr>
          <w:rFonts w:ascii="Verdana" w:eastAsia="Verdana" w:hAnsi="Verdana" w:cs="Verdana"/>
          <w:color w:val="222222"/>
          <w:sz w:val="21"/>
          <w:szCs w:val="21"/>
          <w:highlight w:val="white"/>
        </w:rPr>
      </w:pPr>
    </w:p>
    <w:p w14:paraId="6A7689C6" w14:textId="77777777" w:rsidR="0028042C" w:rsidRDefault="0028042C">
      <w:pPr>
        <w:rPr>
          <w:rFonts w:ascii="Verdana" w:eastAsia="Verdana" w:hAnsi="Verdana" w:cs="Verdana"/>
          <w:color w:val="222222"/>
          <w:sz w:val="21"/>
          <w:szCs w:val="21"/>
          <w:highlight w:val="white"/>
        </w:rPr>
      </w:pPr>
    </w:p>
    <w:p w14:paraId="60906631" w14:textId="77777777" w:rsidR="0028042C" w:rsidRDefault="0028042C">
      <w:pPr>
        <w:rPr>
          <w:rFonts w:ascii="Verdana" w:eastAsia="Verdana" w:hAnsi="Verdana" w:cs="Verdana"/>
          <w:color w:val="222222"/>
          <w:sz w:val="21"/>
          <w:szCs w:val="21"/>
          <w:highlight w:val="white"/>
        </w:rPr>
      </w:pPr>
    </w:p>
    <w:p w14:paraId="1EAD49E8" w14:textId="77777777" w:rsidR="0028042C" w:rsidRDefault="0028042C">
      <w:pPr>
        <w:rPr>
          <w:rFonts w:ascii="Verdana" w:eastAsia="Verdana" w:hAnsi="Verdana" w:cs="Verdana"/>
          <w:color w:val="222222"/>
          <w:sz w:val="21"/>
          <w:szCs w:val="21"/>
          <w:highlight w:val="white"/>
        </w:rPr>
      </w:pPr>
    </w:p>
    <w:p w14:paraId="78F91687" w14:textId="77777777" w:rsidR="0028042C" w:rsidRDefault="0028042C">
      <w:pPr>
        <w:rPr>
          <w:rFonts w:ascii="Verdana" w:eastAsia="Verdana" w:hAnsi="Verdana" w:cs="Verdana"/>
          <w:color w:val="222222"/>
          <w:sz w:val="21"/>
          <w:szCs w:val="21"/>
          <w:highlight w:val="white"/>
        </w:rPr>
      </w:pPr>
    </w:p>
    <w:p w14:paraId="06E243AA" w14:textId="77777777" w:rsidR="0028042C" w:rsidRDefault="00DE2ACC">
      <w:pPr>
        <w:pStyle w:val="Heading3"/>
      </w:pPr>
      <w:bookmarkStart w:id="7" w:name="_okjsrm3zg1t6" w:colFirst="0" w:colLast="0"/>
      <w:bookmarkEnd w:id="7"/>
      <w:r>
        <w:lastRenderedPageBreak/>
        <w:t>Evolutionary Aspects</w:t>
      </w:r>
    </w:p>
    <w:p w14:paraId="314A85BC" w14:textId="77777777" w:rsidR="0028042C" w:rsidRDefault="00DE2ACC">
      <w:pPr>
        <w:rPr>
          <w:color w:val="222222"/>
          <w:sz w:val="21"/>
          <w:szCs w:val="21"/>
          <w:highlight w:val="white"/>
        </w:rPr>
      </w:pPr>
      <w:r>
        <w:rPr>
          <w:color w:val="222222"/>
          <w:sz w:val="21"/>
          <w:szCs w:val="21"/>
          <w:highlight w:val="white"/>
        </w:rPr>
        <w:t>Scientists have estimated that the original mutation occurred over 52,000 years ago in Northern Europe</w:t>
      </w:r>
      <w:r>
        <w:rPr>
          <w:color w:val="222222"/>
          <w:sz w:val="21"/>
          <w:szCs w:val="21"/>
          <w:highlight w:val="white"/>
          <w:vertAlign w:val="superscript"/>
        </w:rPr>
        <w:footnoteReference w:id="10"/>
      </w:r>
      <w:r>
        <w:rPr>
          <w:color w:val="222222"/>
          <w:sz w:val="21"/>
          <w:szCs w:val="21"/>
          <w:highlight w:val="white"/>
        </w:rPr>
        <w:t xml:space="preserve">. Mutations that decrease reproductive fitness are kept low in the population. The CFTR F508 mutation occurs in 1 out of 30 people in western society and is the most common CF mutation. Traditionally, for a disease that kills individuals before reproductive age, that is a high frequency. Today, the CF disease is fatal even though it can be better managed for a longer lifespan. The question remains, for a fatal mutation why has it been maintained in the population? </w:t>
      </w:r>
    </w:p>
    <w:p w14:paraId="12F940E3" w14:textId="77777777" w:rsidR="0028042C" w:rsidRDefault="0028042C">
      <w:pPr>
        <w:rPr>
          <w:color w:val="222222"/>
          <w:sz w:val="21"/>
          <w:szCs w:val="21"/>
          <w:highlight w:val="white"/>
        </w:rPr>
      </w:pPr>
    </w:p>
    <w:p w14:paraId="7F3AF1CB" w14:textId="77777777" w:rsidR="0028042C" w:rsidRDefault="00DE2ACC">
      <w:pPr>
        <w:rPr>
          <w:color w:val="222222"/>
          <w:sz w:val="21"/>
          <w:szCs w:val="21"/>
          <w:highlight w:val="white"/>
        </w:rPr>
      </w:pPr>
      <w:r>
        <w:rPr>
          <w:color w:val="222222"/>
          <w:sz w:val="21"/>
          <w:szCs w:val="21"/>
          <w:highlight w:val="white"/>
        </w:rPr>
        <w:t>Some theories include the following:</w:t>
      </w:r>
    </w:p>
    <w:p w14:paraId="135AF4D5" w14:textId="77777777" w:rsidR="0028042C" w:rsidRDefault="00DE2ACC">
      <w:pPr>
        <w:numPr>
          <w:ilvl w:val="0"/>
          <w:numId w:val="4"/>
        </w:numPr>
        <w:contextualSpacing/>
        <w:rPr>
          <w:color w:val="222222"/>
          <w:sz w:val="21"/>
          <w:szCs w:val="21"/>
          <w:highlight w:val="white"/>
        </w:rPr>
      </w:pPr>
      <w:r>
        <w:rPr>
          <w:color w:val="222222"/>
          <w:sz w:val="21"/>
          <w:szCs w:val="21"/>
          <w:highlight w:val="white"/>
        </w:rPr>
        <w:t xml:space="preserve">People heterozygous for CF may have enough altered CFTR proteins to not cause CF but to reduce water loss through diarrhea when infected with the cholera pathogen. Skeptics of this hypothesis point out that cholera was not documented in Europe until the 17th century. </w:t>
      </w:r>
    </w:p>
    <w:p w14:paraId="236F3B10" w14:textId="77777777" w:rsidR="0028042C" w:rsidRDefault="00DE2ACC">
      <w:pPr>
        <w:numPr>
          <w:ilvl w:val="0"/>
          <w:numId w:val="4"/>
        </w:numPr>
        <w:contextualSpacing/>
        <w:rPr>
          <w:color w:val="222222"/>
          <w:sz w:val="21"/>
          <w:szCs w:val="21"/>
          <w:highlight w:val="white"/>
        </w:rPr>
      </w:pPr>
      <w:r>
        <w:rPr>
          <w:color w:val="222222"/>
          <w:sz w:val="21"/>
          <w:szCs w:val="21"/>
          <w:highlight w:val="white"/>
        </w:rPr>
        <w:t>People who are heterozygous for F508 are more resistant to the disease typhoid fever. The reasoning for this is the pathogen causing typhoid (</w:t>
      </w:r>
      <w:r>
        <w:rPr>
          <w:i/>
          <w:color w:val="222222"/>
          <w:sz w:val="21"/>
          <w:szCs w:val="21"/>
          <w:highlight w:val="white"/>
        </w:rPr>
        <w:t>Salmonella typhi</w:t>
      </w:r>
      <w:r>
        <w:rPr>
          <w:color w:val="222222"/>
          <w:sz w:val="21"/>
          <w:szCs w:val="21"/>
          <w:highlight w:val="white"/>
        </w:rPr>
        <w:t xml:space="preserve">) uses the CFTR protein as a binding site to enter intestinal epithelial cells. </w:t>
      </w:r>
    </w:p>
    <w:p w14:paraId="7D39AAAD" w14:textId="77777777" w:rsidR="0028042C" w:rsidRDefault="00DE2ACC">
      <w:pPr>
        <w:numPr>
          <w:ilvl w:val="0"/>
          <w:numId w:val="4"/>
        </w:numPr>
        <w:contextualSpacing/>
        <w:rPr>
          <w:color w:val="222222"/>
          <w:sz w:val="21"/>
          <w:szCs w:val="21"/>
          <w:highlight w:val="white"/>
        </w:rPr>
      </w:pPr>
      <w:r>
        <w:rPr>
          <w:color w:val="222222"/>
          <w:sz w:val="21"/>
          <w:szCs w:val="21"/>
          <w:highlight w:val="white"/>
        </w:rPr>
        <w:t xml:space="preserve">New findings point to a theory that being heterozygous for CF protects individuals against tuberculosis. Those with CF do not make a nutrient needed by the tuberculosis pathogen to survive in the body. </w:t>
      </w:r>
    </w:p>
    <w:p w14:paraId="2855B532" w14:textId="77777777" w:rsidR="0028042C" w:rsidRDefault="0028042C">
      <w:pPr>
        <w:rPr>
          <w:color w:val="222222"/>
          <w:sz w:val="21"/>
          <w:szCs w:val="21"/>
          <w:highlight w:val="white"/>
        </w:rPr>
      </w:pPr>
    </w:p>
    <w:p w14:paraId="7B150CDD" w14:textId="77777777" w:rsidR="0028042C" w:rsidRDefault="00DE2ACC">
      <w:pPr>
        <w:numPr>
          <w:ilvl w:val="0"/>
          <w:numId w:val="1"/>
        </w:numPr>
        <w:contextualSpacing/>
        <w:rPr>
          <w:color w:val="222222"/>
          <w:sz w:val="21"/>
          <w:szCs w:val="21"/>
          <w:highlight w:val="white"/>
        </w:rPr>
      </w:pPr>
      <w:proofErr w:type="gramStart"/>
      <w:r>
        <w:rPr>
          <w:color w:val="222222"/>
          <w:sz w:val="21"/>
          <w:szCs w:val="21"/>
          <w:highlight w:val="white"/>
        </w:rPr>
        <w:t>All of these</w:t>
      </w:r>
      <w:proofErr w:type="gramEnd"/>
      <w:r>
        <w:rPr>
          <w:color w:val="222222"/>
          <w:sz w:val="21"/>
          <w:szCs w:val="21"/>
          <w:highlight w:val="white"/>
        </w:rPr>
        <w:t xml:space="preserve"> theories point to a phenomenon in human evolution called “heterozygous advantage”. Using the 3 theories above, explain how heterozygous people would have an advantage over homozygous dominant (normal) people and homozygous recessive (CF) people in a population. </w:t>
      </w:r>
    </w:p>
    <w:p w14:paraId="719B61FC" w14:textId="77777777" w:rsidR="0028042C" w:rsidRDefault="00DE2ACC">
      <w:pPr>
        <w:numPr>
          <w:ilvl w:val="0"/>
          <w:numId w:val="1"/>
        </w:numPr>
        <w:contextualSpacing/>
        <w:rPr>
          <w:color w:val="222222"/>
          <w:sz w:val="21"/>
          <w:szCs w:val="21"/>
          <w:highlight w:val="white"/>
        </w:rPr>
      </w:pPr>
      <w:r>
        <w:rPr>
          <w:color w:val="222222"/>
          <w:sz w:val="21"/>
          <w:szCs w:val="21"/>
          <w:highlight w:val="white"/>
        </w:rPr>
        <w:t>One question scientists asked is why the incidence of CF was highest in Europe and not tropical countries? People with CF often have saltier sweat than non-CF people. How would a person having CF in a tropical country be selected against even more so than a northern European person?</w:t>
      </w:r>
    </w:p>
    <w:sectPr w:rsidR="0028042C">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CCFDD7" w14:textId="77777777" w:rsidR="00D06D6C" w:rsidRDefault="00DE2ACC">
      <w:pPr>
        <w:spacing w:line="240" w:lineRule="auto"/>
      </w:pPr>
      <w:r>
        <w:separator/>
      </w:r>
    </w:p>
  </w:endnote>
  <w:endnote w:type="continuationSeparator" w:id="0">
    <w:p w14:paraId="37DCB908" w14:textId="77777777" w:rsidR="00D06D6C" w:rsidRDefault="00DE2A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83F1D0" w14:textId="77777777" w:rsidR="00D06D6C" w:rsidRDefault="00DE2ACC">
      <w:pPr>
        <w:spacing w:line="240" w:lineRule="auto"/>
      </w:pPr>
      <w:r>
        <w:separator/>
      </w:r>
    </w:p>
  </w:footnote>
  <w:footnote w:type="continuationSeparator" w:id="0">
    <w:p w14:paraId="4FECAD9A" w14:textId="77777777" w:rsidR="00D06D6C" w:rsidRDefault="00DE2ACC">
      <w:pPr>
        <w:spacing w:line="240" w:lineRule="auto"/>
      </w:pPr>
      <w:r>
        <w:continuationSeparator/>
      </w:r>
    </w:p>
  </w:footnote>
  <w:footnote w:id="1">
    <w:p w14:paraId="4BE63CE3" w14:textId="77777777" w:rsidR="0028042C" w:rsidRDefault="00DE2ACC">
      <w:pPr>
        <w:spacing w:line="240" w:lineRule="auto"/>
        <w:rPr>
          <w:sz w:val="16"/>
          <w:szCs w:val="16"/>
        </w:rPr>
      </w:pPr>
      <w:r>
        <w:rPr>
          <w:vertAlign w:val="superscript"/>
        </w:rPr>
        <w:footnoteRef/>
      </w:r>
      <w:r>
        <w:rPr>
          <w:sz w:val="16"/>
          <w:szCs w:val="16"/>
        </w:rPr>
        <w:t xml:space="preserve"> Cystic Fibrosis: Cause, Progression, and Treatment - Video &amp; Lesson Transcript. (n.d.). Retrieved February 5, 2018, from </w:t>
      </w:r>
      <w:hyperlink r:id="rId1">
        <w:r>
          <w:rPr>
            <w:color w:val="1155CC"/>
            <w:sz w:val="16"/>
            <w:szCs w:val="16"/>
            <w:u w:val="single"/>
          </w:rPr>
          <w:t>http://study.com/academy/lesson/cystic-fibrosis-cause-progression-and-treatment.html</w:t>
        </w:r>
      </w:hyperlink>
      <w:r>
        <w:rPr>
          <w:sz w:val="16"/>
          <w:szCs w:val="16"/>
        </w:rPr>
        <w:t xml:space="preserve"> </w:t>
      </w:r>
    </w:p>
  </w:footnote>
  <w:footnote w:id="2">
    <w:p w14:paraId="5ABAB5C4" w14:textId="77777777" w:rsidR="0028042C" w:rsidRDefault="00DE2ACC">
      <w:pPr>
        <w:spacing w:line="240" w:lineRule="auto"/>
        <w:rPr>
          <w:sz w:val="20"/>
          <w:szCs w:val="20"/>
        </w:rPr>
      </w:pPr>
      <w:r>
        <w:rPr>
          <w:vertAlign w:val="superscript"/>
        </w:rPr>
        <w:footnoteRef/>
      </w:r>
      <w:r>
        <w:rPr>
          <w:sz w:val="16"/>
          <w:szCs w:val="16"/>
        </w:rPr>
        <w:t xml:space="preserve"> </w:t>
      </w:r>
      <w:proofErr w:type="spellStart"/>
      <w:r>
        <w:rPr>
          <w:sz w:val="16"/>
          <w:szCs w:val="16"/>
        </w:rPr>
        <w:t>Akabas</w:t>
      </w:r>
      <w:proofErr w:type="spellEnd"/>
      <w:r>
        <w:rPr>
          <w:sz w:val="16"/>
          <w:szCs w:val="16"/>
        </w:rPr>
        <w:t xml:space="preserve">, M. H. (2000). Cystic Fibrosis Transmembrane Conductance Regulator STRUCTURE AND FUNCTION OF AN EPITHELIAL CHLORIDE CHANNEL. </w:t>
      </w:r>
      <w:r>
        <w:rPr>
          <w:i/>
          <w:sz w:val="16"/>
          <w:szCs w:val="16"/>
        </w:rPr>
        <w:t>Journal of Biological Chemistry</w:t>
      </w:r>
      <w:r>
        <w:rPr>
          <w:sz w:val="16"/>
          <w:szCs w:val="16"/>
        </w:rPr>
        <w:t xml:space="preserve">, </w:t>
      </w:r>
      <w:r>
        <w:rPr>
          <w:i/>
          <w:sz w:val="16"/>
          <w:szCs w:val="16"/>
        </w:rPr>
        <w:t>275</w:t>
      </w:r>
      <w:r>
        <w:rPr>
          <w:sz w:val="16"/>
          <w:szCs w:val="16"/>
        </w:rPr>
        <w:t>(6), 3729–3732. https://doi.org/10.1074/jbc.275.6.3729</w:t>
      </w:r>
    </w:p>
  </w:footnote>
  <w:footnote w:id="3">
    <w:p w14:paraId="47DC1039" w14:textId="77777777" w:rsidR="0028042C" w:rsidRDefault="00DE2ACC">
      <w:pPr>
        <w:spacing w:line="240" w:lineRule="auto"/>
        <w:rPr>
          <w:sz w:val="16"/>
          <w:szCs w:val="16"/>
        </w:rPr>
      </w:pPr>
      <w:r>
        <w:rPr>
          <w:vertAlign w:val="superscript"/>
        </w:rPr>
        <w:footnoteRef/>
      </w:r>
      <w:r>
        <w:rPr>
          <w:sz w:val="16"/>
          <w:szCs w:val="16"/>
        </w:rPr>
        <w:t xml:space="preserve"> Doorway to a Cure for Cystic Fibrosis | DiscoverMagazine.com. (n.d.). Retrieved February 5, 2018, from </w:t>
      </w:r>
      <w:hyperlink r:id="rId2">
        <w:r>
          <w:rPr>
            <w:color w:val="1155CC"/>
            <w:sz w:val="16"/>
            <w:szCs w:val="16"/>
            <w:u w:val="single"/>
          </w:rPr>
          <w:t>http://discovermagazine.com/2013/september/14-doorway-to-a-cure</w:t>
        </w:r>
      </w:hyperlink>
      <w:r>
        <w:rPr>
          <w:sz w:val="16"/>
          <w:szCs w:val="16"/>
        </w:rPr>
        <w:t xml:space="preserve"> </w:t>
      </w:r>
    </w:p>
    <w:p w14:paraId="60672363" w14:textId="77777777" w:rsidR="0028042C" w:rsidRDefault="0028042C">
      <w:pPr>
        <w:spacing w:line="240" w:lineRule="auto"/>
        <w:rPr>
          <w:sz w:val="20"/>
          <w:szCs w:val="20"/>
        </w:rPr>
      </w:pPr>
    </w:p>
  </w:footnote>
  <w:footnote w:id="4">
    <w:p w14:paraId="6FC56E25" w14:textId="77777777" w:rsidR="0028042C" w:rsidRDefault="00DE2ACC">
      <w:pPr>
        <w:spacing w:line="240" w:lineRule="auto"/>
        <w:rPr>
          <w:sz w:val="16"/>
          <w:szCs w:val="16"/>
        </w:rPr>
      </w:pPr>
      <w:r>
        <w:rPr>
          <w:vertAlign w:val="superscript"/>
        </w:rPr>
        <w:footnoteRef/>
      </w:r>
      <w:r>
        <w:rPr>
          <w:sz w:val="20"/>
          <w:szCs w:val="20"/>
        </w:rPr>
        <w:t xml:space="preserve"> </w:t>
      </w:r>
      <w:proofErr w:type="spellStart"/>
      <w:r>
        <w:rPr>
          <w:sz w:val="16"/>
          <w:szCs w:val="16"/>
        </w:rPr>
        <w:t>Quon</w:t>
      </w:r>
      <w:proofErr w:type="spellEnd"/>
      <w:r>
        <w:rPr>
          <w:sz w:val="16"/>
          <w:szCs w:val="16"/>
        </w:rPr>
        <w:t xml:space="preserve">, B. S., &amp; Rowe, S. M. (2016). New and emerging targeted therapies for cystic fibrosis. </w:t>
      </w:r>
      <w:r>
        <w:rPr>
          <w:i/>
          <w:sz w:val="16"/>
          <w:szCs w:val="16"/>
        </w:rPr>
        <w:t>The BMJ</w:t>
      </w:r>
      <w:r>
        <w:rPr>
          <w:sz w:val="16"/>
          <w:szCs w:val="16"/>
        </w:rPr>
        <w:t xml:space="preserve">, </w:t>
      </w:r>
      <w:r>
        <w:rPr>
          <w:i/>
          <w:sz w:val="16"/>
          <w:szCs w:val="16"/>
        </w:rPr>
        <w:t>352</w:t>
      </w:r>
      <w:r>
        <w:rPr>
          <w:sz w:val="16"/>
          <w:szCs w:val="16"/>
        </w:rPr>
        <w:t>. https://doi.org/10.1136/bmj.i859</w:t>
      </w:r>
    </w:p>
  </w:footnote>
  <w:footnote w:id="5">
    <w:p w14:paraId="041F71D6" w14:textId="77777777" w:rsidR="0028042C" w:rsidRDefault="00DE2ACC">
      <w:pPr>
        <w:spacing w:line="240" w:lineRule="auto"/>
        <w:rPr>
          <w:sz w:val="16"/>
          <w:szCs w:val="16"/>
        </w:rPr>
      </w:pPr>
      <w:r>
        <w:rPr>
          <w:vertAlign w:val="superscript"/>
        </w:rPr>
        <w:footnoteRef/>
      </w:r>
      <w:r>
        <w:rPr>
          <w:sz w:val="20"/>
          <w:szCs w:val="20"/>
        </w:rPr>
        <w:t xml:space="preserve"> </w:t>
      </w:r>
      <w:r>
        <w:rPr>
          <w:sz w:val="16"/>
          <w:szCs w:val="16"/>
        </w:rPr>
        <w:t xml:space="preserve">Hull, J. (2012). Cystic fibrosis transmembrane conductance regulator dysfunction and its treatment. </w:t>
      </w:r>
      <w:r>
        <w:rPr>
          <w:i/>
          <w:sz w:val="16"/>
          <w:szCs w:val="16"/>
        </w:rPr>
        <w:t>Journal of the Royal Society of Medicine</w:t>
      </w:r>
      <w:r>
        <w:rPr>
          <w:sz w:val="16"/>
          <w:szCs w:val="16"/>
        </w:rPr>
        <w:t xml:space="preserve">, </w:t>
      </w:r>
      <w:r>
        <w:rPr>
          <w:i/>
          <w:sz w:val="16"/>
          <w:szCs w:val="16"/>
        </w:rPr>
        <w:t>105</w:t>
      </w:r>
      <w:r>
        <w:rPr>
          <w:sz w:val="16"/>
          <w:szCs w:val="16"/>
        </w:rPr>
        <w:t>(</w:t>
      </w:r>
      <w:proofErr w:type="spellStart"/>
      <w:r>
        <w:rPr>
          <w:sz w:val="16"/>
          <w:szCs w:val="16"/>
        </w:rPr>
        <w:t>Suppl</w:t>
      </w:r>
      <w:proofErr w:type="spellEnd"/>
      <w:r>
        <w:rPr>
          <w:sz w:val="16"/>
          <w:szCs w:val="16"/>
        </w:rPr>
        <w:t xml:space="preserve"> 2), S2–S8. https://doi.org/10.1258/jrsm.2012.12s001</w:t>
      </w:r>
    </w:p>
    <w:p w14:paraId="455EE3E7" w14:textId="77777777" w:rsidR="0028042C" w:rsidRDefault="0028042C">
      <w:pPr>
        <w:spacing w:line="240" w:lineRule="auto"/>
        <w:rPr>
          <w:sz w:val="20"/>
          <w:szCs w:val="20"/>
        </w:rPr>
      </w:pPr>
    </w:p>
  </w:footnote>
  <w:footnote w:id="6">
    <w:p w14:paraId="6459E17E" w14:textId="77777777" w:rsidR="0028042C" w:rsidRDefault="00DE2ACC">
      <w:pPr>
        <w:spacing w:line="240" w:lineRule="auto"/>
        <w:rPr>
          <w:sz w:val="20"/>
          <w:szCs w:val="20"/>
        </w:rPr>
      </w:pPr>
      <w:r>
        <w:rPr>
          <w:vertAlign w:val="superscript"/>
        </w:rPr>
        <w:footnoteRef/>
      </w:r>
      <w:r>
        <w:rPr>
          <w:sz w:val="20"/>
          <w:szCs w:val="20"/>
        </w:rPr>
        <w:t xml:space="preserve"> </w:t>
      </w:r>
      <w:r>
        <w:rPr>
          <w:sz w:val="16"/>
          <w:szCs w:val="16"/>
        </w:rPr>
        <w:t xml:space="preserve">Hull, J. (2012). Cystic fibrosis transmembrane conductance regulator dysfunction and its treatment. </w:t>
      </w:r>
      <w:r>
        <w:rPr>
          <w:i/>
          <w:sz w:val="16"/>
          <w:szCs w:val="16"/>
        </w:rPr>
        <w:t>Journal of the Royal Society of Medicine</w:t>
      </w:r>
      <w:r>
        <w:rPr>
          <w:sz w:val="16"/>
          <w:szCs w:val="16"/>
        </w:rPr>
        <w:t xml:space="preserve">, </w:t>
      </w:r>
      <w:r>
        <w:rPr>
          <w:i/>
          <w:sz w:val="16"/>
          <w:szCs w:val="16"/>
        </w:rPr>
        <w:t>105</w:t>
      </w:r>
      <w:r>
        <w:rPr>
          <w:sz w:val="16"/>
          <w:szCs w:val="16"/>
        </w:rPr>
        <w:t>(</w:t>
      </w:r>
      <w:proofErr w:type="spellStart"/>
      <w:r>
        <w:rPr>
          <w:sz w:val="16"/>
          <w:szCs w:val="16"/>
        </w:rPr>
        <w:t>Suppl</w:t>
      </w:r>
      <w:proofErr w:type="spellEnd"/>
      <w:r>
        <w:rPr>
          <w:sz w:val="16"/>
          <w:szCs w:val="16"/>
        </w:rPr>
        <w:t xml:space="preserve"> 2), S2–S8. https://doi.org/10.1258/jrsm.2012.12s001</w:t>
      </w:r>
    </w:p>
  </w:footnote>
  <w:footnote w:id="7">
    <w:p w14:paraId="672C9109" w14:textId="77777777" w:rsidR="0028042C" w:rsidRDefault="00DE2ACC">
      <w:pPr>
        <w:spacing w:line="240" w:lineRule="auto"/>
        <w:rPr>
          <w:sz w:val="20"/>
          <w:szCs w:val="20"/>
        </w:rPr>
      </w:pPr>
      <w:r>
        <w:rPr>
          <w:vertAlign w:val="superscript"/>
        </w:rPr>
        <w:footnoteRef/>
      </w:r>
      <w:r>
        <w:rPr>
          <w:sz w:val="16"/>
          <w:szCs w:val="16"/>
        </w:rPr>
        <w:t xml:space="preserve"> ΔF508. (2018, February 2). In </w:t>
      </w:r>
      <w:r>
        <w:rPr>
          <w:i/>
          <w:sz w:val="16"/>
          <w:szCs w:val="16"/>
        </w:rPr>
        <w:t>Wikipedia</w:t>
      </w:r>
      <w:r>
        <w:rPr>
          <w:sz w:val="16"/>
          <w:szCs w:val="16"/>
        </w:rPr>
        <w:t xml:space="preserve">. Retrieved from </w:t>
      </w:r>
      <w:hyperlink r:id="rId3">
        <w:r>
          <w:rPr>
            <w:color w:val="1155CC"/>
            <w:sz w:val="16"/>
            <w:szCs w:val="16"/>
            <w:u w:val="single"/>
          </w:rPr>
          <w:t>https://en.wikipedia.org/w/index.php?title=%CE%94F508&amp;oldid=823629597</w:t>
        </w:r>
      </w:hyperlink>
      <w:r>
        <w:rPr>
          <w:sz w:val="16"/>
          <w:szCs w:val="16"/>
        </w:rPr>
        <w:t xml:space="preserve"> </w:t>
      </w:r>
    </w:p>
  </w:footnote>
  <w:footnote w:id="8">
    <w:p w14:paraId="33C5068C" w14:textId="77777777" w:rsidR="0028042C" w:rsidRDefault="00DE2ACC">
      <w:pPr>
        <w:spacing w:line="240" w:lineRule="auto"/>
        <w:rPr>
          <w:sz w:val="16"/>
          <w:szCs w:val="16"/>
        </w:rPr>
      </w:pPr>
      <w:r>
        <w:rPr>
          <w:vertAlign w:val="superscript"/>
        </w:rPr>
        <w:footnoteRef/>
      </w:r>
      <w:r>
        <w:rPr>
          <w:sz w:val="20"/>
          <w:szCs w:val="20"/>
        </w:rPr>
        <w:t xml:space="preserve"> </w:t>
      </w:r>
      <w:r>
        <w:rPr>
          <w:sz w:val="16"/>
          <w:szCs w:val="16"/>
        </w:rPr>
        <w:t>CFTR - Cystic fibrosis transmembrane conductance regulator - Homo sapiens (Human) - CFTR gene &amp; protein. (n.d.). Retrieved February 6, 2018, from http://www.uniprot.org/uniprot/P13569</w:t>
      </w:r>
    </w:p>
    <w:p w14:paraId="28990180" w14:textId="77777777" w:rsidR="0028042C" w:rsidRDefault="0028042C">
      <w:pPr>
        <w:spacing w:line="240" w:lineRule="auto"/>
        <w:rPr>
          <w:sz w:val="20"/>
          <w:szCs w:val="20"/>
        </w:rPr>
      </w:pPr>
    </w:p>
  </w:footnote>
  <w:footnote w:id="9">
    <w:p w14:paraId="10DB60C6" w14:textId="77777777" w:rsidR="0028042C" w:rsidRDefault="00DE2ACC">
      <w:pPr>
        <w:spacing w:line="240" w:lineRule="auto"/>
        <w:rPr>
          <w:sz w:val="16"/>
          <w:szCs w:val="16"/>
        </w:rPr>
      </w:pPr>
      <w:r>
        <w:rPr>
          <w:vertAlign w:val="superscript"/>
        </w:rPr>
        <w:footnoteRef/>
      </w:r>
      <w:r>
        <w:rPr>
          <w:sz w:val="20"/>
          <w:szCs w:val="20"/>
        </w:rPr>
        <w:t xml:space="preserve"> </w:t>
      </w:r>
      <w:r>
        <w:rPr>
          <w:sz w:val="16"/>
          <w:szCs w:val="16"/>
        </w:rPr>
        <w:t>Cystic Fibrosis Mutation Database: CFTR Domains. (n.d.). Retrieved February 6, 2018, from http://www.genet.sickkids.on.ca/CftrDomainPage.html</w:t>
      </w:r>
    </w:p>
    <w:p w14:paraId="4B1C342A" w14:textId="77777777" w:rsidR="0028042C" w:rsidRDefault="0028042C">
      <w:pPr>
        <w:spacing w:line="240" w:lineRule="auto"/>
        <w:rPr>
          <w:sz w:val="20"/>
          <w:szCs w:val="20"/>
        </w:rPr>
      </w:pPr>
    </w:p>
  </w:footnote>
  <w:footnote w:id="10">
    <w:p w14:paraId="140A1DDB" w14:textId="77777777" w:rsidR="0028042C" w:rsidRDefault="00DE2ACC">
      <w:pPr>
        <w:spacing w:line="240" w:lineRule="auto"/>
        <w:rPr>
          <w:sz w:val="16"/>
          <w:szCs w:val="16"/>
        </w:rPr>
      </w:pPr>
      <w:r>
        <w:rPr>
          <w:vertAlign w:val="superscript"/>
        </w:rPr>
        <w:footnoteRef/>
      </w:r>
      <w:r>
        <w:rPr>
          <w:sz w:val="20"/>
          <w:szCs w:val="20"/>
        </w:rPr>
        <w:t xml:space="preserve"> </w:t>
      </w:r>
      <w:r>
        <w:rPr>
          <w:sz w:val="16"/>
          <w:szCs w:val="16"/>
        </w:rPr>
        <w:t xml:space="preserve">ΔF508. (2018, February 2). In </w:t>
      </w:r>
      <w:r>
        <w:rPr>
          <w:i/>
          <w:sz w:val="16"/>
          <w:szCs w:val="16"/>
        </w:rPr>
        <w:t>Wikipedia</w:t>
      </w:r>
      <w:r>
        <w:rPr>
          <w:sz w:val="16"/>
          <w:szCs w:val="16"/>
        </w:rPr>
        <w:t xml:space="preserve">. Retrieved from </w:t>
      </w:r>
      <w:hyperlink r:id="rId4">
        <w:r>
          <w:rPr>
            <w:color w:val="1155CC"/>
            <w:sz w:val="16"/>
            <w:szCs w:val="16"/>
            <w:u w:val="single"/>
          </w:rPr>
          <w:t>https://en.wikipedia.org/w/index.php?title=%CE%94F508&amp;oldid=823629597</w:t>
        </w:r>
      </w:hyperlink>
      <w:r>
        <w:rPr>
          <w:sz w:val="16"/>
          <w:szCs w:val="16"/>
        </w:rPr>
        <w:t xml:space="preserve"> </w:t>
      </w:r>
    </w:p>
    <w:p w14:paraId="632811EE" w14:textId="77777777" w:rsidR="0028042C" w:rsidRDefault="0028042C">
      <w:pPr>
        <w:spacing w:line="240" w:lineRule="auto"/>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66AFC"/>
    <w:multiLevelType w:val="multilevel"/>
    <w:tmpl w:val="46D611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2E0DE0"/>
    <w:multiLevelType w:val="multilevel"/>
    <w:tmpl w:val="EC54F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536A5D"/>
    <w:multiLevelType w:val="multilevel"/>
    <w:tmpl w:val="7B305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60119B"/>
    <w:multiLevelType w:val="multilevel"/>
    <w:tmpl w:val="535A2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BB00D4E"/>
    <w:multiLevelType w:val="multilevel"/>
    <w:tmpl w:val="4F3C2E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8B235D3"/>
    <w:multiLevelType w:val="multilevel"/>
    <w:tmpl w:val="292854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4012979"/>
    <w:multiLevelType w:val="multilevel"/>
    <w:tmpl w:val="84589F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5"/>
  </w:num>
  <w:num w:numId="3">
    <w:abstractNumId w:val="2"/>
  </w:num>
  <w:num w:numId="4">
    <w:abstractNumId w:val="1"/>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28042C"/>
    <w:rsid w:val="000E6F85"/>
    <w:rsid w:val="0028042C"/>
    <w:rsid w:val="00D06D6C"/>
    <w:rsid w:val="00DE2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7D452"/>
  <w15:docId w15:val="{FBB4B352-446E-4EEA-878E-14E82EE40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E6F8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F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drive.google.com/file/d/1OLZIPrMEY4KKUjJNdQqg9LS8Z4S9_BC3/view?usp=sharing" TargetMode="External"/><Relationship Id="rId12" Type="http://schemas.openxmlformats.org/officeDocument/2006/relationships/hyperlink" Target="https://simplemoleculargenetics.weebly.com/uploads/1/8/3/4/18345767/5269678_orig.p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ndex.php?title=%CE%94F508&amp;oldid=823629597" TargetMode="External"/><Relationship Id="rId2" Type="http://schemas.openxmlformats.org/officeDocument/2006/relationships/hyperlink" Target="http://discovermagazine.com/2013/september/14-doorway-to-a-cure" TargetMode="External"/><Relationship Id="rId1" Type="http://schemas.openxmlformats.org/officeDocument/2006/relationships/hyperlink" Target="http://study.com/academy/lesson/cystic-fibrosis-cause-progression-and-treatment.html" TargetMode="External"/><Relationship Id="rId4" Type="http://schemas.openxmlformats.org/officeDocument/2006/relationships/hyperlink" Target="https://en.wikipedia.org/w/index.php?title=%CE%94F508&amp;oldid=8236295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1401</Words>
  <Characters>7988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Phillips</dc:creator>
  <cp:lastModifiedBy>Susan Phillips</cp:lastModifiedBy>
  <cp:revision>3</cp:revision>
  <cp:lastPrinted>2018-09-19T15:24:00Z</cp:lastPrinted>
  <dcterms:created xsi:type="dcterms:W3CDTF">2018-02-11T00:46:00Z</dcterms:created>
  <dcterms:modified xsi:type="dcterms:W3CDTF">2018-09-19T15:25:00Z</dcterms:modified>
</cp:coreProperties>
</file>