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6A1" w:rsidRPr="002046A1" w:rsidRDefault="002046A1" w:rsidP="002046A1">
      <w:r>
        <w:rPr>
          <w:b/>
          <w:bCs/>
        </w:rPr>
        <w:t xml:space="preserve">Magnet </w:t>
      </w:r>
      <w:proofErr w:type="spellStart"/>
      <w:r>
        <w:rPr>
          <w:b/>
          <w:bCs/>
        </w:rPr>
        <w:t>Biochem</w:t>
      </w:r>
      <w:proofErr w:type="spellEnd"/>
      <w:r>
        <w:rPr>
          <w:b/>
          <w:bCs/>
        </w:rPr>
        <w:tab/>
      </w:r>
      <w:r w:rsidR="00DA1282">
        <w:rPr>
          <w:b/>
          <w:bCs/>
        </w:rPr>
        <w:tab/>
      </w:r>
      <w:r w:rsidR="00DA1282">
        <w:rPr>
          <w:b/>
          <w:bCs/>
        </w:rPr>
        <w:tab/>
      </w:r>
      <w:r w:rsidR="00DA1282">
        <w:rPr>
          <w:b/>
          <w:bCs/>
        </w:rPr>
        <w:tab/>
      </w:r>
      <w:r w:rsidR="00DA1282">
        <w:rPr>
          <w:b/>
          <w:bCs/>
        </w:rPr>
        <w:tab/>
      </w:r>
      <w:r w:rsidR="00DA1282">
        <w:rPr>
          <w:b/>
          <w:bCs/>
        </w:rPr>
        <w:tab/>
        <w:t>pH and Molarity [concentration]</w:t>
      </w:r>
      <w:bookmarkStart w:id="0" w:name="_GoBack"/>
      <w:bookmarkEnd w:id="0"/>
    </w:p>
    <w:p w:rsidR="002046A1" w:rsidRPr="002046A1" w:rsidRDefault="002046A1" w:rsidP="002046A1">
      <w:r w:rsidRPr="002046A1">
        <w:t xml:space="preserve">We are surrounded by dilute solutions of acids and bases, inside and out. The orange juice and coffee that help us start our day are acidic, and the gastric juices they mix with in our stomach are also naturally acidic. Many of our household cleaning liquids, like the detergent solution in our washing machines and the bleach we add to whiten our clothes, are basic. </w:t>
      </w:r>
      <w:r>
        <w:t xml:space="preserve">Although the topic of ‘acid and base equilibrium’ is not covered until AP </w:t>
      </w:r>
      <w:proofErr w:type="spellStart"/>
      <w:r>
        <w:t>Chem</w:t>
      </w:r>
      <w:proofErr w:type="spellEnd"/>
      <w:r>
        <w:t>, learning a little in this course will help with your understanding of solutions</w:t>
      </w:r>
      <w:r w:rsidRPr="002046A1">
        <w:t xml:space="preserve"> in terms of molarity, </w:t>
      </w:r>
      <w:r>
        <w:t xml:space="preserve">so that </w:t>
      </w:r>
      <w:r w:rsidRPr="002046A1">
        <w:t>you will be able to understand the origin of the pH scale for describing acids and what the pH value says about an acidic or basic solution.</w:t>
      </w:r>
    </w:p>
    <w:p w:rsidR="002046A1" w:rsidRPr="002046A1" w:rsidRDefault="002046A1" w:rsidP="002046A1">
      <w:r w:rsidRPr="002046A1">
        <w:t>According to the Arrhenius theory of acids and bases, when an acid is added to water, it donates an H</w:t>
      </w:r>
      <w:r w:rsidRPr="002046A1">
        <w:rPr>
          <w:vertAlign w:val="superscript"/>
        </w:rPr>
        <w:t>+</w:t>
      </w:r>
      <w:r w:rsidRPr="002046A1">
        <w:t> ion to water to form H</w:t>
      </w:r>
      <w:r w:rsidRPr="002046A1">
        <w:rPr>
          <w:vertAlign w:val="subscript"/>
        </w:rPr>
        <w:t>3</w:t>
      </w:r>
      <w:r w:rsidRPr="002046A1">
        <w:t>O</w:t>
      </w:r>
      <w:r w:rsidRPr="002046A1">
        <w:rPr>
          <w:vertAlign w:val="superscript"/>
        </w:rPr>
        <w:t>+</w:t>
      </w:r>
      <w:r w:rsidRPr="002046A1">
        <w:t> (often represented by H</w:t>
      </w:r>
      <w:r w:rsidRPr="002046A1">
        <w:rPr>
          <w:vertAlign w:val="superscript"/>
        </w:rPr>
        <w:t>+</w:t>
      </w:r>
      <w:r w:rsidRPr="002046A1">
        <w:t>). The higher the concentration of H</w:t>
      </w:r>
      <w:r w:rsidRPr="002046A1">
        <w:rPr>
          <w:vertAlign w:val="subscript"/>
        </w:rPr>
        <w:t>3</w:t>
      </w:r>
      <w:r w:rsidRPr="002046A1">
        <w:t>O</w:t>
      </w:r>
      <w:r w:rsidRPr="002046A1">
        <w:rPr>
          <w:vertAlign w:val="superscript"/>
        </w:rPr>
        <w:t>+</w:t>
      </w:r>
      <w:r w:rsidRPr="002046A1">
        <w:t> (or H</w:t>
      </w:r>
      <w:r w:rsidRPr="002046A1">
        <w:rPr>
          <w:vertAlign w:val="superscript"/>
        </w:rPr>
        <w:t>+</w:t>
      </w:r>
      <w:r w:rsidRPr="002046A1">
        <w:t>) in a solution, the more acidic the solution is. An Arrhenius base is a substance</w:t>
      </w:r>
      <w:r>
        <w:t xml:space="preserve"> that generates hydroxide ions (</w:t>
      </w:r>
      <w:r w:rsidRPr="002046A1">
        <w:t>OH</w:t>
      </w:r>
      <w:r w:rsidRPr="002046A1">
        <w:rPr>
          <w:vertAlign w:val="superscript"/>
        </w:rPr>
        <w:t>-</w:t>
      </w:r>
      <w:r>
        <w:t xml:space="preserve">) </w:t>
      </w:r>
      <w:r w:rsidRPr="002046A1">
        <w:t>in water. The higher the concentration of OH</w:t>
      </w:r>
      <w:r w:rsidRPr="002046A1">
        <w:rPr>
          <w:vertAlign w:val="superscript"/>
        </w:rPr>
        <w:t>-</w:t>
      </w:r>
      <w:r w:rsidRPr="002046A1">
        <w:t> in a solution, the more basic the solution is.</w:t>
      </w:r>
    </w:p>
    <w:p w:rsidR="002046A1" w:rsidRPr="002046A1" w:rsidRDefault="002046A1" w:rsidP="002046A1">
      <w:r w:rsidRPr="002046A1">
        <w:t>Pure water undergoes a reversible reaction in which both H+ and OH</w:t>
      </w:r>
      <w:r w:rsidRPr="002046A1">
        <w:rPr>
          <w:vertAlign w:val="superscript"/>
        </w:rPr>
        <w:t>-</w:t>
      </w:r>
      <w:r w:rsidRPr="002046A1">
        <w:t> are generated.</w:t>
      </w:r>
    </w:p>
    <w:p w:rsidR="002046A1" w:rsidRPr="002046A1" w:rsidRDefault="002046A1" w:rsidP="002046A1">
      <w:proofErr w:type="gramStart"/>
      <w:r w:rsidRPr="002046A1">
        <w:t>H</w:t>
      </w:r>
      <w:r w:rsidRPr="002046A1">
        <w:rPr>
          <w:vertAlign w:val="subscript"/>
        </w:rPr>
        <w:t>2</w:t>
      </w:r>
      <w:r w:rsidRPr="002046A1">
        <w:t>O(</w:t>
      </w:r>
      <w:proofErr w:type="gramEnd"/>
      <w:r w:rsidRPr="002046A1">
        <w:t>l)    </w:t>
      </w:r>
      <w:r w:rsidRPr="002046A1">
        <w:drawing>
          <wp:inline distT="0" distB="0" distL="0" distR="0" wp14:anchorId="0DFA7583" wp14:editId="5C7AE8DF">
            <wp:extent cx="152400" cy="184150"/>
            <wp:effectExtent l="0" t="0" r="0" b="6350"/>
            <wp:docPr id="1" name="Picture 1" descr="http://preparatorychemistry.com/images/arrow_double_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reparatorychemistry.com/images/arrow_double_C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84150"/>
                    </a:xfrm>
                    <a:prstGeom prst="rect">
                      <a:avLst/>
                    </a:prstGeom>
                    <a:noFill/>
                    <a:ln>
                      <a:noFill/>
                    </a:ln>
                  </pic:spPr>
                </pic:pic>
              </a:graphicData>
            </a:graphic>
          </wp:inline>
        </w:drawing>
      </w:r>
      <w:r w:rsidRPr="002046A1">
        <w:t>    H</w:t>
      </w:r>
      <w:r w:rsidRPr="002046A1">
        <w:rPr>
          <w:vertAlign w:val="superscript"/>
        </w:rPr>
        <w:t>+</w:t>
      </w:r>
      <w:r w:rsidRPr="002046A1">
        <w:t>(</w:t>
      </w:r>
      <w:proofErr w:type="spellStart"/>
      <w:r w:rsidRPr="002046A1">
        <w:t>aq</w:t>
      </w:r>
      <w:proofErr w:type="spellEnd"/>
      <w:r w:rsidRPr="002046A1">
        <w:t>)  +  OH</w:t>
      </w:r>
      <w:r w:rsidRPr="002046A1">
        <w:rPr>
          <w:vertAlign w:val="superscript"/>
        </w:rPr>
        <w:t>-</w:t>
      </w:r>
      <w:r w:rsidRPr="002046A1">
        <w:t>(</w:t>
      </w:r>
      <w:proofErr w:type="spellStart"/>
      <w:r w:rsidRPr="002046A1">
        <w:t>aq</w:t>
      </w:r>
      <w:proofErr w:type="spellEnd"/>
      <w:r w:rsidRPr="002046A1">
        <w:t>)</w:t>
      </w:r>
      <w:r>
        <w:t xml:space="preserve">             *note: </w:t>
      </w:r>
      <w:proofErr w:type="spellStart"/>
      <w:r>
        <w:t>aq</w:t>
      </w:r>
      <w:proofErr w:type="spellEnd"/>
      <w:r>
        <w:t>=aqueous (in solution)</w:t>
      </w:r>
    </w:p>
    <w:p w:rsidR="002046A1" w:rsidRPr="002046A1" w:rsidRDefault="002046A1" w:rsidP="002046A1">
      <w:r w:rsidRPr="002046A1">
        <w:t>The equilibrium constant for this reaction, called the water dissociation constant, K</w:t>
      </w:r>
      <w:r w:rsidRPr="002046A1">
        <w:rPr>
          <w:vertAlign w:val="subscript"/>
        </w:rPr>
        <w:t>w</w:t>
      </w:r>
      <w:r w:rsidRPr="002046A1">
        <w:t>, is 1.01 × 10</w:t>
      </w:r>
      <w:r w:rsidRPr="002046A1">
        <w:rPr>
          <w:vertAlign w:val="superscript"/>
        </w:rPr>
        <w:t>-14</w:t>
      </w:r>
      <w:r w:rsidRPr="002046A1">
        <w:t> at 25 °C. </w:t>
      </w:r>
      <w:r>
        <w:t xml:space="preserve">(*In AP </w:t>
      </w:r>
      <w:proofErr w:type="spellStart"/>
      <w:r>
        <w:t>Chem</w:t>
      </w:r>
      <w:proofErr w:type="spellEnd"/>
      <w:r>
        <w:t>, you learn how to derive this, but we will not in this course</w:t>
      </w:r>
      <w:r w:rsidR="0093358D">
        <w:t>. I’m just using it to make a point</w:t>
      </w:r>
      <w:r>
        <w:t>)</w:t>
      </w:r>
    </w:p>
    <w:p w:rsidR="002046A1" w:rsidRPr="002046A1" w:rsidRDefault="002046A1" w:rsidP="002046A1">
      <w:r w:rsidRPr="002046A1">
        <w:t>K</w:t>
      </w:r>
      <w:r w:rsidRPr="002046A1">
        <w:rPr>
          <w:vertAlign w:val="subscript"/>
        </w:rPr>
        <w:t>w</w:t>
      </w:r>
      <w:r w:rsidR="00DA1282">
        <w:t> = </w:t>
      </w:r>
      <w:r w:rsidRPr="002046A1">
        <w:t>[H</w:t>
      </w:r>
      <w:r w:rsidRPr="002046A1">
        <w:rPr>
          <w:vertAlign w:val="superscript"/>
        </w:rPr>
        <w:t>+</w:t>
      </w:r>
      <w:proofErr w:type="gramStart"/>
      <w:r w:rsidRPr="002046A1">
        <w:t>][</w:t>
      </w:r>
      <w:proofErr w:type="gramEnd"/>
      <w:r w:rsidRPr="002046A1">
        <w:t>OH</w:t>
      </w:r>
      <w:r w:rsidRPr="002046A1">
        <w:rPr>
          <w:vertAlign w:val="superscript"/>
        </w:rPr>
        <w:t>-</w:t>
      </w:r>
      <w:r w:rsidRPr="002046A1">
        <w:t>]  =  1.01 × 10</w:t>
      </w:r>
      <w:r w:rsidRPr="002046A1">
        <w:rPr>
          <w:vertAlign w:val="superscript"/>
        </w:rPr>
        <w:t>-14</w:t>
      </w:r>
      <w:r w:rsidRPr="002046A1">
        <w:t>   at 25 °C</w:t>
      </w:r>
    </w:p>
    <w:p w:rsidR="002046A1" w:rsidRPr="002046A1" w:rsidRDefault="002046A1" w:rsidP="002046A1">
      <w:r w:rsidRPr="002046A1">
        <w:t>Because every H</w:t>
      </w:r>
      <w:r w:rsidRPr="002046A1">
        <w:rPr>
          <w:vertAlign w:val="superscript"/>
        </w:rPr>
        <w:t>+</w:t>
      </w:r>
      <w:r w:rsidRPr="002046A1">
        <w:t> (H</w:t>
      </w:r>
      <w:r w:rsidRPr="002046A1">
        <w:rPr>
          <w:vertAlign w:val="subscript"/>
        </w:rPr>
        <w:t>3</w:t>
      </w:r>
      <w:r w:rsidRPr="002046A1">
        <w:t>O</w:t>
      </w:r>
      <w:r w:rsidRPr="002046A1">
        <w:rPr>
          <w:vertAlign w:val="superscript"/>
        </w:rPr>
        <w:t>+</w:t>
      </w:r>
      <w:r w:rsidRPr="002046A1">
        <w:t>) ion that forms is accompanied by the formation of an OH</w:t>
      </w:r>
      <w:r w:rsidRPr="002046A1">
        <w:rPr>
          <w:vertAlign w:val="superscript"/>
        </w:rPr>
        <w:t>-</w:t>
      </w:r>
      <w:r w:rsidRPr="002046A1">
        <w:t> ion, the concentrations of these ions in pure water are the same and can be calculated from K</w:t>
      </w:r>
      <w:r w:rsidRPr="002046A1">
        <w:rPr>
          <w:vertAlign w:val="subscript"/>
        </w:rPr>
        <w:t>w</w:t>
      </w:r>
      <w:r w:rsidRPr="002046A1">
        <w:t>. </w:t>
      </w:r>
    </w:p>
    <w:p w:rsidR="002046A1" w:rsidRPr="002046A1" w:rsidRDefault="002046A1" w:rsidP="002046A1">
      <w:r w:rsidRPr="002046A1">
        <w:t>K</w:t>
      </w:r>
      <w:r w:rsidRPr="002046A1">
        <w:rPr>
          <w:vertAlign w:val="subscript"/>
        </w:rPr>
        <w:t>w</w:t>
      </w:r>
      <w:r w:rsidRPr="002046A1">
        <w:t>  =  [H</w:t>
      </w:r>
      <w:r w:rsidRPr="002046A1">
        <w:rPr>
          <w:vertAlign w:val="superscript"/>
        </w:rPr>
        <w:t>+</w:t>
      </w:r>
      <w:r w:rsidRPr="002046A1">
        <w:t>][OH</w:t>
      </w:r>
      <w:r w:rsidRPr="002046A1">
        <w:rPr>
          <w:vertAlign w:val="superscript"/>
        </w:rPr>
        <w:t>-</w:t>
      </w:r>
      <w:r w:rsidRPr="002046A1">
        <w:t>]  =  (x)(x)  =  1.01 × 10</w:t>
      </w:r>
      <w:r w:rsidRPr="002046A1">
        <w:rPr>
          <w:vertAlign w:val="superscript"/>
        </w:rPr>
        <w:t>-14</w:t>
      </w:r>
      <w:r w:rsidRPr="002046A1">
        <w:t> </w:t>
      </w:r>
      <w:r>
        <w:t>[*note: (x)(x)= x</w:t>
      </w:r>
      <w:r w:rsidRPr="002046A1">
        <w:rPr>
          <w:vertAlign w:val="superscript"/>
        </w:rPr>
        <w:t>2</w:t>
      </w:r>
      <w:r>
        <w:t>, so take the square root of both sides]</w:t>
      </w:r>
    </w:p>
    <w:p w:rsidR="002046A1" w:rsidRDefault="00DA1282" w:rsidP="002046A1">
      <w:r>
        <w:t>x = </w:t>
      </w:r>
      <w:r w:rsidR="002046A1" w:rsidRPr="002046A1">
        <w:t>[H</w:t>
      </w:r>
      <w:r w:rsidR="002046A1" w:rsidRPr="002046A1">
        <w:rPr>
          <w:vertAlign w:val="superscript"/>
        </w:rPr>
        <w:t>+</w:t>
      </w:r>
      <w:r>
        <w:t>] </w:t>
      </w:r>
      <w:r w:rsidR="002046A1" w:rsidRPr="002046A1">
        <w:t>=</w:t>
      </w:r>
      <w:proofErr w:type="gramStart"/>
      <w:r w:rsidR="002046A1" w:rsidRPr="002046A1">
        <w:t>  [</w:t>
      </w:r>
      <w:proofErr w:type="gramEnd"/>
      <w:r w:rsidR="002046A1" w:rsidRPr="002046A1">
        <w:t>OH-]  =  1.01 × 10</w:t>
      </w:r>
      <w:r w:rsidR="002046A1" w:rsidRPr="002046A1">
        <w:rPr>
          <w:vertAlign w:val="superscript"/>
        </w:rPr>
        <w:t>-7</w:t>
      </w:r>
      <w:r w:rsidR="002046A1" w:rsidRPr="002046A1">
        <w:t> M     </w:t>
      </w:r>
      <w:r>
        <w:tab/>
      </w:r>
      <w:r>
        <w:tab/>
        <w:t>(*Note: M=Molarity=</w:t>
      </w:r>
      <w:proofErr w:type="spellStart"/>
      <w:r>
        <w:t>mol</w:t>
      </w:r>
      <w:proofErr w:type="spellEnd"/>
      <w:r>
        <w:t>/L)</w:t>
      </w:r>
      <w:r>
        <w:tab/>
      </w:r>
      <w:r w:rsidR="002046A1" w:rsidRPr="002046A1">
        <w:br/>
      </w:r>
      <w:r>
        <w:t xml:space="preserve">                                </w:t>
      </w:r>
      <w:r w:rsidR="002046A1" w:rsidRPr="002046A1">
        <w:t>  (1.005 × 10</w:t>
      </w:r>
      <w:r w:rsidR="002046A1" w:rsidRPr="002046A1">
        <w:rPr>
          <w:vertAlign w:val="superscript"/>
        </w:rPr>
        <w:t>-7</w:t>
      </w:r>
      <w:r w:rsidR="002046A1" w:rsidRPr="002046A1">
        <w:t> M before rounding)</w:t>
      </w:r>
    </w:p>
    <w:p w:rsidR="002046A1" w:rsidRPr="002046A1" w:rsidRDefault="0093358D" w:rsidP="002046A1">
      <w:r>
        <w:t>What should you take from this? Note that both exponents are -7. Now think about what you know regarding the pH of water</w:t>
      </w:r>
      <w:r w:rsidR="00B23818">
        <w:t>, and hopefully you will see where I’m going with this.</w:t>
      </w:r>
    </w:p>
    <w:p w:rsidR="002046A1" w:rsidRPr="002046A1" w:rsidRDefault="002046A1" w:rsidP="001D5DB8">
      <w:r w:rsidRPr="002046A1">
        <w:t>The equilibrium constant expression shows that the concentrations of H</w:t>
      </w:r>
      <w:r w:rsidRPr="002046A1">
        <w:rPr>
          <w:vertAlign w:val="superscript"/>
        </w:rPr>
        <w:t>+</w:t>
      </w:r>
      <w:r w:rsidRPr="002046A1">
        <w:t> and OH</w:t>
      </w:r>
      <w:r w:rsidRPr="002046A1">
        <w:rPr>
          <w:vertAlign w:val="superscript"/>
        </w:rPr>
        <w:t>-</w:t>
      </w:r>
      <w:r w:rsidRPr="002046A1">
        <w:t> in water are linked. As one increases, the other must decrease to keep the pro</w:t>
      </w:r>
      <w:r>
        <w:t>duct of the concentrations e</w:t>
      </w:r>
      <w:r w:rsidR="001D5DB8">
        <w:t>qual</w:t>
      </w:r>
      <w:r w:rsidRPr="002046A1">
        <w:t xml:space="preserve"> to </w:t>
      </w:r>
      <w:r w:rsidR="001D5DB8">
        <w:t xml:space="preserve">        </w:t>
      </w:r>
      <w:r w:rsidRPr="002046A1">
        <w:t>1.01 × 10</w:t>
      </w:r>
      <w:r w:rsidRPr="002046A1">
        <w:rPr>
          <w:vertAlign w:val="superscript"/>
        </w:rPr>
        <w:t>-14</w:t>
      </w:r>
      <w:r w:rsidRPr="002046A1">
        <w:t> (at 25 °C). If an acid, like hydrochloric acid</w:t>
      </w:r>
      <w:r w:rsidR="0093358D">
        <w:t xml:space="preserve"> (a strong acid)</w:t>
      </w:r>
      <w:r w:rsidRPr="002046A1">
        <w:t>, is added to water, the concentration of the H</w:t>
      </w:r>
      <w:r w:rsidRPr="002046A1">
        <w:rPr>
          <w:vertAlign w:val="superscript"/>
        </w:rPr>
        <w:t>+</w:t>
      </w:r>
      <w:r w:rsidRPr="002046A1">
        <w:t> goes up, and the concentration of the OH</w:t>
      </w:r>
      <w:r w:rsidRPr="002046A1">
        <w:rPr>
          <w:vertAlign w:val="superscript"/>
        </w:rPr>
        <w:t>-</w:t>
      </w:r>
      <w:r w:rsidRPr="002046A1">
        <w:t> goes down, but the product of those concentrations remains the same. An acidic solution can b</w:t>
      </w:r>
      <w:r w:rsidR="0093358D">
        <w:t>e defined as a solution where</w:t>
      </w:r>
      <w:r w:rsidRPr="002046A1">
        <w:t xml:space="preserve"> the [H</w:t>
      </w:r>
      <w:r w:rsidRPr="002046A1">
        <w:rPr>
          <w:vertAlign w:val="superscript"/>
        </w:rPr>
        <w:t>+</w:t>
      </w:r>
      <w:r w:rsidRPr="002046A1">
        <w:t>] &gt; [OH</w:t>
      </w:r>
      <w:r w:rsidRPr="002046A1">
        <w:rPr>
          <w:vertAlign w:val="superscript"/>
        </w:rPr>
        <w:t>-</w:t>
      </w:r>
      <w:r w:rsidRPr="002046A1">
        <w:t xml:space="preserve">]. </w:t>
      </w:r>
    </w:p>
    <w:p w:rsidR="002046A1" w:rsidRPr="002046A1" w:rsidRDefault="002046A1" w:rsidP="002046A1">
      <w:r w:rsidRPr="002046A1">
        <w:t>Typical solutions of dilute acid or base have concentrations of H</w:t>
      </w:r>
      <w:r w:rsidRPr="002046A1">
        <w:rPr>
          <w:vertAlign w:val="superscript"/>
        </w:rPr>
        <w:t>+</w:t>
      </w:r>
      <w:r w:rsidRPr="002046A1">
        <w:t> and OH</w:t>
      </w:r>
      <w:r w:rsidRPr="002046A1">
        <w:rPr>
          <w:vertAlign w:val="superscript"/>
        </w:rPr>
        <w:t>-</w:t>
      </w:r>
      <w:r w:rsidRPr="002046A1">
        <w:t> between 10</w:t>
      </w:r>
      <w:r w:rsidRPr="002046A1">
        <w:rPr>
          <w:vertAlign w:val="superscript"/>
        </w:rPr>
        <w:t>-14</w:t>
      </w:r>
      <w:r w:rsidRPr="002046A1">
        <w:t> M and 1 M. The table below shows the relationship between the H</w:t>
      </w:r>
      <w:r w:rsidRPr="002046A1">
        <w:rPr>
          <w:vertAlign w:val="superscript"/>
        </w:rPr>
        <w:t>+</w:t>
      </w:r>
      <w:r w:rsidRPr="002046A1">
        <w:t> and OH</w:t>
      </w:r>
      <w:r w:rsidRPr="002046A1">
        <w:rPr>
          <w:vertAlign w:val="superscript"/>
        </w:rPr>
        <w:t>-</w:t>
      </w:r>
      <w:r w:rsidRPr="002046A1">
        <w:t> concentrations in this range.</w:t>
      </w:r>
    </w:p>
    <w:p w:rsidR="002046A1" w:rsidRDefault="002046A1" w:rsidP="002046A1">
      <w:r w:rsidRPr="002046A1">
        <w:t> </w:t>
      </w:r>
    </w:p>
    <w:p w:rsidR="0093358D" w:rsidRDefault="0093358D" w:rsidP="002046A1"/>
    <w:p w:rsidR="0093358D" w:rsidRPr="002046A1" w:rsidRDefault="0093358D" w:rsidP="002046A1"/>
    <w:p w:rsidR="002046A1" w:rsidRPr="002046A1" w:rsidRDefault="002046A1" w:rsidP="002046A1">
      <w:r w:rsidRPr="002046A1">
        <w:rPr>
          <w:b/>
          <w:bCs/>
        </w:rPr>
        <w:lastRenderedPageBreak/>
        <w:t>Concentrations of H</w:t>
      </w:r>
      <w:r w:rsidRPr="002046A1">
        <w:rPr>
          <w:b/>
          <w:bCs/>
          <w:vertAlign w:val="superscript"/>
        </w:rPr>
        <w:t>+</w:t>
      </w:r>
      <w:r w:rsidRPr="002046A1">
        <w:rPr>
          <w:b/>
          <w:bCs/>
        </w:rPr>
        <w:t> and OH</w:t>
      </w:r>
      <w:r w:rsidRPr="002046A1">
        <w:rPr>
          <w:b/>
          <w:bCs/>
          <w:vertAlign w:val="superscript"/>
        </w:rPr>
        <w:t>-</w:t>
      </w:r>
      <w:r w:rsidRPr="002046A1">
        <w:rPr>
          <w:b/>
          <w:bCs/>
        </w:rPr>
        <w:t> in Dilute Acid and Base Solutions at 25 °C</w:t>
      </w:r>
    </w:p>
    <w:tbl>
      <w:tblPr>
        <w:tblW w:w="9495" w:type="dxa"/>
        <w:jc w:val="center"/>
        <w:tblCellMar>
          <w:left w:w="0" w:type="dxa"/>
          <w:right w:w="0" w:type="dxa"/>
        </w:tblCellMar>
        <w:tblLook w:val="04A0" w:firstRow="1" w:lastRow="0" w:firstColumn="1" w:lastColumn="0" w:noHBand="0" w:noVBand="1"/>
      </w:tblPr>
      <w:tblGrid>
        <w:gridCol w:w="5419"/>
        <w:gridCol w:w="4076"/>
      </w:tblGrid>
      <w:tr w:rsidR="002046A1" w:rsidRPr="002046A1" w:rsidTr="00F23820">
        <w:trPr>
          <w:jc w:val="center"/>
        </w:trPr>
        <w:tc>
          <w:tcPr>
            <w:tcW w:w="1755" w:type="dxa"/>
            <w:tcBorders>
              <w:top w:val="nil"/>
              <w:left w:val="nil"/>
              <w:bottom w:val="nil"/>
              <w:right w:val="nil"/>
            </w:tcBorders>
            <w:shd w:val="clear" w:color="auto" w:fill="auto"/>
            <w:hideMark/>
          </w:tcPr>
          <w:p w:rsidR="002046A1" w:rsidRPr="002046A1" w:rsidRDefault="002046A1" w:rsidP="002046A1">
            <w:r w:rsidRPr="002046A1">
              <w:rPr>
                <w:b/>
                <w:bCs/>
              </w:rPr>
              <w:t>[H</w:t>
            </w:r>
            <w:r w:rsidRPr="002046A1">
              <w:rPr>
                <w:b/>
                <w:bCs/>
                <w:vertAlign w:val="superscript"/>
              </w:rPr>
              <w:t>+</w:t>
            </w:r>
            <w:r w:rsidRPr="002046A1">
              <w:rPr>
                <w:b/>
                <w:bCs/>
              </w:rPr>
              <w:t>]</w:t>
            </w:r>
          </w:p>
        </w:tc>
        <w:tc>
          <w:tcPr>
            <w:tcW w:w="1320" w:type="dxa"/>
            <w:tcBorders>
              <w:top w:val="nil"/>
              <w:left w:val="nil"/>
              <w:bottom w:val="nil"/>
              <w:right w:val="nil"/>
            </w:tcBorders>
            <w:shd w:val="clear" w:color="auto" w:fill="auto"/>
            <w:hideMark/>
          </w:tcPr>
          <w:p w:rsidR="002046A1" w:rsidRPr="002046A1" w:rsidRDefault="002046A1" w:rsidP="002046A1">
            <w:r w:rsidRPr="002046A1">
              <w:rPr>
                <w:b/>
                <w:bCs/>
              </w:rPr>
              <w:t>[OH</w:t>
            </w:r>
            <w:r w:rsidRPr="002046A1">
              <w:rPr>
                <w:b/>
                <w:bCs/>
                <w:vertAlign w:val="superscript"/>
              </w:rPr>
              <w:t>-</w:t>
            </w:r>
            <w:r w:rsidRPr="002046A1">
              <w:t>]</w:t>
            </w:r>
          </w:p>
        </w:tc>
      </w:tr>
      <w:tr w:rsidR="002046A1" w:rsidRPr="002046A1" w:rsidTr="00F23820">
        <w:trPr>
          <w:jc w:val="center"/>
        </w:trPr>
        <w:tc>
          <w:tcPr>
            <w:tcW w:w="1755" w:type="dxa"/>
            <w:tcBorders>
              <w:top w:val="nil"/>
              <w:left w:val="nil"/>
              <w:bottom w:val="nil"/>
              <w:right w:val="nil"/>
            </w:tcBorders>
            <w:shd w:val="clear" w:color="auto" w:fill="auto"/>
            <w:hideMark/>
          </w:tcPr>
          <w:p w:rsidR="002046A1" w:rsidRPr="002046A1" w:rsidRDefault="002046A1" w:rsidP="002046A1">
            <w:r w:rsidRPr="002046A1">
              <w:t>1.0 M</w:t>
            </w:r>
            <w:r w:rsidR="00B23818">
              <w:t xml:space="preserve"> (1.0 x 10</w:t>
            </w:r>
            <w:r w:rsidR="00B23818">
              <w:rPr>
                <w:vertAlign w:val="superscript"/>
              </w:rPr>
              <w:t>0</w:t>
            </w:r>
            <w:r w:rsidR="00B23818">
              <w:t>)</w:t>
            </w:r>
          </w:p>
        </w:tc>
        <w:tc>
          <w:tcPr>
            <w:tcW w:w="132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-14</w:t>
            </w:r>
            <w:r w:rsidRPr="002046A1">
              <w:t> M</w:t>
            </w:r>
          </w:p>
        </w:tc>
      </w:tr>
      <w:tr w:rsidR="002046A1" w:rsidRPr="002046A1" w:rsidTr="00F23820">
        <w:trPr>
          <w:jc w:val="center"/>
        </w:trPr>
        <w:tc>
          <w:tcPr>
            <w:tcW w:w="1755"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-3</w:t>
            </w:r>
            <w:r w:rsidRPr="002046A1">
              <w:t> M</w:t>
            </w:r>
          </w:p>
        </w:tc>
        <w:tc>
          <w:tcPr>
            <w:tcW w:w="132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-11</w:t>
            </w:r>
            <w:r w:rsidRPr="002046A1">
              <w:t> M</w:t>
            </w:r>
          </w:p>
        </w:tc>
      </w:tr>
      <w:tr w:rsidR="002046A1" w:rsidRPr="002046A1" w:rsidTr="00F23820">
        <w:trPr>
          <w:jc w:val="center"/>
        </w:trPr>
        <w:tc>
          <w:tcPr>
            <w:tcW w:w="1755"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-7</w:t>
            </w:r>
            <w:r w:rsidRPr="002046A1">
              <w:t> M</w:t>
            </w:r>
          </w:p>
        </w:tc>
        <w:tc>
          <w:tcPr>
            <w:tcW w:w="132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-7</w:t>
            </w:r>
            <w:r w:rsidRPr="002046A1">
              <w:t> M</w:t>
            </w:r>
          </w:p>
        </w:tc>
      </w:tr>
      <w:tr w:rsidR="002046A1" w:rsidRPr="002046A1" w:rsidTr="00F23820">
        <w:trPr>
          <w:jc w:val="center"/>
        </w:trPr>
        <w:tc>
          <w:tcPr>
            <w:tcW w:w="1755"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-10</w:t>
            </w:r>
            <w:r w:rsidRPr="002046A1">
              <w:t> M</w:t>
            </w:r>
          </w:p>
        </w:tc>
        <w:tc>
          <w:tcPr>
            <w:tcW w:w="132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-4</w:t>
            </w:r>
            <w:r w:rsidRPr="002046A1">
              <w:t> M</w:t>
            </w:r>
          </w:p>
        </w:tc>
      </w:tr>
      <w:tr w:rsidR="002046A1" w:rsidRPr="002046A1" w:rsidTr="00F23820">
        <w:trPr>
          <w:jc w:val="center"/>
        </w:trPr>
        <w:tc>
          <w:tcPr>
            <w:tcW w:w="1755"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-14</w:t>
            </w:r>
            <w:r w:rsidRPr="002046A1">
              <w:t> M</w:t>
            </w:r>
          </w:p>
        </w:tc>
        <w:tc>
          <w:tcPr>
            <w:tcW w:w="1320" w:type="dxa"/>
            <w:tcBorders>
              <w:top w:val="nil"/>
              <w:left w:val="nil"/>
              <w:bottom w:val="nil"/>
              <w:right w:val="nil"/>
            </w:tcBorders>
            <w:shd w:val="clear" w:color="auto" w:fill="auto"/>
            <w:hideMark/>
          </w:tcPr>
          <w:p w:rsidR="002046A1" w:rsidRPr="002046A1" w:rsidRDefault="002046A1" w:rsidP="002046A1">
            <w:r w:rsidRPr="002046A1">
              <w:t>1.0 M</w:t>
            </w:r>
            <w:r w:rsidR="00B23818">
              <w:t xml:space="preserve"> (1.0 x 10</w:t>
            </w:r>
            <w:r w:rsidR="00B23818">
              <w:rPr>
                <w:vertAlign w:val="superscript"/>
              </w:rPr>
              <w:t>0</w:t>
            </w:r>
            <w:r w:rsidR="00B23818">
              <w:t>)</w:t>
            </w:r>
          </w:p>
        </w:tc>
      </w:tr>
    </w:tbl>
    <w:p w:rsidR="002046A1" w:rsidRPr="002046A1" w:rsidRDefault="002046A1" w:rsidP="002046A1">
      <w:r w:rsidRPr="002046A1">
        <w:t> </w:t>
      </w:r>
      <w:r w:rsidR="00B23818">
        <w:t>*Notice that if we added the exponents across each column, they all = 14 (</w:t>
      </w:r>
      <w:proofErr w:type="spellStart"/>
      <w:r w:rsidR="00B23818">
        <w:t>disrespective</w:t>
      </w:r>
      <w:proofErr w:type="spellEnd"/>
      <w:r w:rsidR="00B23818">
        <w:t xml:space="preserve"> of the – sign)</w:t>
      </w:r>
    </w:p>
    <w:p w:rsidR="002046A1" w:rsidRPr="002046A1" w:rsidRDefault="002046A1" w:rsidP="002046A1">
      <w:r w:rsidRPr="002046A1">
        <w:t>We could describe the relative strengths of dilute solutions of acids and bases by listing the molarity of H</w:t>
      </w:r>
      <w:r w:rsidRPr="002046A1">
        <w:rPr>
          <w:vertAlign w:val="superscript"/>
        </w:rPr>
        <w:t>+</w:t>
      </w:r>
      <w:r w:rsidRPr="002046A1">
        <w:t> for acidic solutions and the molarity of OH</w:t>
      </w:r>
      <w:r w:rsidRPr="002046A1">
        <w:rPr>
          <w:vertAlign w:val="superscript"/>
        </w:rPr>
        <w:t>-</w:t>
      </w:r>
      <w:r w:rsidRPr="002046A1">
        <w:t> for basic solutions. There are two reasons why we use the pH scale instead. The first reason is that instead of describing acidic solutions with [H</w:t>
      </w:r>
      <w:r w:rsidRPr="002046A1">
        <w:rPr>
          <w:vertAlign w:val="superscript"/>
        </w:rPr>
        <w:t>+</w:t>
      </w:r>
      <w:r w:rsidRPr="002046A1">
        <w:t>] and basic solutions with [OH</w:t>
      </w:r>
      <w:r w:rsidRPr="002046A1">
        <w:rPr>
          <w:vertAlign w:val="superscript"/>
        </w:rPr>
        <w:t>-</w:t>
      </w:r>
      <w:r w:rsidRPr="002046A1">
        <w:t>], chemists prefer to have one scale for describing both acidic and basic solutions. Because the product of the H</w:t>
      </w:r>
      <w:r w:rsidRPr="002046A1">
        <w:rPr>
          <w:vertAlign w:val="superscript"/>
        </w:rPr>
        <w:t>+</w:t>
      </w:r>
      <w:r w:rsidRPr="002046A1">
        <w:t> and OH</w:t>
      </w:r>
      <w:r w:rsidRPr="002046A1">
        <w:rPr>
          <w:vertAlign w:val="superscript"/>
        </w:rPr>
        <w:t>-</w:t>
      </w:r>
      <w:r w:rsidRPr="002046A1">
        <w:t> concentrations in such solutions is always 1.01 × 10</w:t>
      </w:r>
      <w:r w:rsidRPr="002046A1">
        <w:rPr>
          <w:vertAlign w:val="superscript"/>
        </w:rPr>
        <w:t>-14</w:t>
      </w:r>
      <w:r w:rsidRPr="002046A1">
        <w:t> at 25 °C, when we give the concentration of H</w:t>
      </w:r>
      <w:r w:rsidRPr="002046A1">
        <w:rPr>
          <w:vertAlign w:val="superscript"/>
        </w:rPr>
        <w:t>+</w:t>
      </w:r>
      <w:r w:rsidRPr="002046A1">
        <w:t>, we are indirectly also giving the concentration of OH</w:t>
      </w:r>
      <w:r w:rsidRPr="002046A1">
        <w:rPr>
          <w:vertAlign w:val="superscript"/>
        </w:rPr>
        <w:t>-</w:t>
      </w:r>
      <w:r w:rsidRPr="002046A1">
        <w:t>. For example, when we say that the concentration of H</w:t>
      </w:r>
      <w:r w:rsidRPr="002046A1">
        <w:rPr>
          <w:vertAlign w:val="superscript"/>
        </w:rPr>
        <w:t>+</w:t>
      </w:r>
      <w:r w:rsidRPr="002046A1">
        <w:t> in an acidic solution at 25 °C is 10</w:t>
      </w:r>
      <w:r w:rsidRPr="002046A1">
        <w:rPr>
          <w:vertAlign w:val="superscript"/>
        </w:rPr>
        <w:t>-3</w:t>
      </w:r>
      <w:r w:rsidRPr="002046A1">
        <w:t> M, we are indirectly saying that the concentration of OH</w:t>
      </w:r>
      <w:r w:rsidRPr="002046A1">
        <w:rPr>
          <w:vertAlign w:val="superscript"/>
        </w:rPr>
        <w:t>-</w:t>
      </w:r>
      <w:r w:rsidRPr="002046A1">
        <w:t> in this same solution is 10</w:t>
      </w:r>
      <w:r w:rsidRPr="002046A1">
        <w:rPr>
          <w:vertAlign w:val="superscript"/>
        </w:rPr>
        <w:t>-11</w:t>
      </w:r>
      <w:r w:rsidRPr="002046A1">
        <w:t> M. When we say that the concentration of H</w:t>
      </w:r>
      <w:r w:rsidRPr="002046A1">
        <w:rPr>
          <w:vertAlign w:val="superscript"/>
        </w:rPr>
        <w:t>+</w:t>
      </w:r>
      <w:r w:rsidRPr="002046A1">
        <w:t> in a basic solution at 25 °C is 10</w:t>
      </w:r>
      <w:r w:rsidRPr="002046A1">
        <w:rPr>
          <w:vertAlign w:val="superscript"/>
        </w:rPr>
        <w:t>-10</w:t>
      </w:r>
      <w:r w:rsidRPr="002046A1">
        <w:t> M, we are indirectly saying that the OH</w:t>
      </w:r>
      <w:r w:rsidRPr="002046A1">
        <w:rPr>
          <w:vertAlign w:val="superscript"/>
        </w:rPr>
        <w:t>-</w:t>
      </w:r>
      <w:r w:rsidRPr="002046A1">
        <w:t> concentration is 10</w:t>
      </w:r>
      <w:r w:rsidRPr="002046A1">
        <w:rPr>
          <w:vertAlign w:val="superscript"/>
        </w:rPr>
        <w:t>-4</w:t>
      </w:r>
      <w:r w:rsidRPr="002046A1">
        <w:t> M. The pH concept makes use of this relationship to describe both dilute acid and dilute base solutions on a single scale.</w:t>
      </w:r>
    </w:p>
    <w:p w:rsidR="002046A1" w:rsidRPr="002046A1" w:rsidRDefault="002046A1" w:rsidP="002046A1">
      <w:r w:rsidRPr="002046A1">
        <w:t>The next reason for using the pH scale instead of H</w:t>
      </w:r>
      <w:r w:rsidRPr="002046A1">
        <w:rPr>
          <w:vertAlign w:val="superscript"/>
        </w:rPr>
        <w:t>+</w:t>
      </w:r>
      <w:r w:rsidRPr="002046A1">
        <w:t> and OH</w:t>
      </w:r>
      <w:r w:rsidRPr="002046A1">
        <w:rPr>
          <w:vertAlign w:val="superscript"/>
        </w:rPr>
        <w:t>-</w:t>
      </w:r>
      <w:r w:rsidRPr="002046A1">
        <w:t> concentrations is that in dilute solutions, the concentration of H</w:t>
      </w:r>
      <w:r w:rsidRPr="002046A1">
        <w:rPr>
          <w:vertAlign w:val="superscript"/>
        </w:rPr>
        <w:t>+</w:t>
      </w:r>
      <w:r w:rsidRPr="002046A1">
        <w:t> is small, leading to the inconvenience of measurements with many decimal places, such as 0.000001 M H</w:t>
      </w:r>
      <w:r w:rsidRPr="002046A1">
        <w:rPr>
          <w:vertAlign w:val="superscript"/>
        </w:rPr>
        <w:t>+</w:t>
      </w:r>
      <w:r w:rsidRPr="002046A1">
        <w:t>, or to the potential confusion associated with scientific notation, as with 1 × 10</w:t>
      </w:r>
      <w:r w:rsidRPr="002046A1">
        <w:rPr>
          <w:vertAlign w:val="superscript"/>
        </w:rPr>
        <w:t>-6</w:t>
      </w:r>
      <w:r w:rsidRPr="002046A1">
        <w:t> M H</w:t>
      </w:r>
      <w:r w:rsidRPr="002046A1">
        <w:rPr>
          <w:vertAlign w:val="superscript"/>
        </w:rPr>
        <w:t>+</w:t>
      </w:r>
      <w:r w:rsidRPr="002046A1">
        <w:t>. In order to avoid such inconvenience and possible confusion, pH is defined as the negative logarithm of the H</w:t>
      </w:r>
      <w:r w:rsidRPr="002046A1">
        <w:rPr>
          <w:vertAlign w:val="superscript"/>
        </w:rPr>
        <w:t>+</w:t>
      </w:r>
      <w:r w:rsidRPr="002046A1">
        <w:t> concentration.</w:t>
      </w:r>
      <w:r w:rsidR="00B23818">
        <w:t xml:space="preserve"> A logarithm is an exponent, and that’s all you need to know about it for doing this.</w:t>
      </w:r>
    </w:p>
    <w:p w:rsidR="002046A1" w:rsidRPr="002046A1" w:rsidRDefault="002046A1" w:rsidP="002046A1">
      <w:r w:rsidRPr="002046A1">
        <w:t>pH</w:t>
      </w:r>
      <w:proofErr w:type="gramStart"/>
      <w:r w:rsidRPr="002046A1">
        <w:t>  =</w:t>
      </w:r>
      <w:proofErr w:type="gramEnd"/>
      <w:r w:rsidRPr="002046A1">
        <w:t>  -log[H</w:t>
      </w:r>
      <w:r w:rsidRPr="002046A1">
        <w:rPr>
          <w:vertAlign w:val="superscript"/>
        </w:rPr>
        <w:t>+</w:t>
      </w:r>
      <w:r w:rsidRPr="002046A1">
        <w:t>]</w:t>
      </w:r>
    </w:p>
    <w:p w:rsidR="002046A1" w:rsidRPr="002046A1" w:rsidRDefault="002046A1" w:rsidP="002046A1">
      <w:r w:rsidRPr="002046A1">
        <w:t>Instead of saying that a solution is 0.0000010 M H</w:t>
      </w:r>
      <w:r w:rsidRPr="002046A1">
        <w:rPr>
          <w:vertAlign w:val="superscript"/>
        </w:rPr>
        <w:t>+</w:t>
      </w:r>
      <w:r w:rsidRPr="002046A1">
        <w:t> (or 1.0 × 10</w:t>
      </w:r>
      <w:r w:rsidRPr="002046A1">
        <w:rPr>
          <w:vertAlign w:val="superscript"/>
        </w:rPr>
        <w:t>-6</w:t>
      </w:r>
      <w:r w:rsidRPr="002046A1">
        <w:t> M H</w:t>
      </w:r>
      <w:r w:rsidRPr="002046A1">
        <w:rPr>
          <w:vertAlign w:val="superscript"/>
        </w:rPr>
        <w:t>+</w:t>
      </w:r>
      <w:r w:rsidRPr="002046A1">
        <w:t>) and 0.000000010 M OH</w:t>
      </w:r>
      <w:r w:rsidRPr="002046A1">
        <w:rPr>
          <w:vertAlign w:val="superscript"/>
        </w:rPr>
        <w:t>-</w:t>
      </w:r>
      <w:r w:rsidRPr="002046A1">
        <w:t> (or 1.0 × 10</w:t>
      </w:r>
      <w:r w:rsidRPr="002046A1">
        <w:rPr>
          <w:vertAlign w:val="superscript"/>
        </w:rPr>
        <w:t>-8</w:t>
      </w:r>
      <w:r w:rsidRPr="002046A1">
        <w:t> M OH</w:t>
      </w:r>
      <w:r w:rsidRPr="002046A1">
        <w:rPr>
          <w:vertAlign w:val="superscript"/>
        </w:rPr>
        <w:t>-</w:t>
      </w:r>
      <w:r w:rsidRPr="002046A1">
        <w:t>), we can indirectly convey the same information by saying that the pH is 6.00.</w:t>
      </w:r>
    </w:p>
    <w:p w:rsidR="002046A1" w:rsidRPr="002046A1" w:rsidRDefault="002046A1" w:rsidP="002046A1">
      <w:proofErr w:type="gramStart"/>
      <w:r w:rsidRPr="002046A1">
        <w:t>pH</w:t>
      </w:r>
      <w:proofErr w:type="gramEnd"/>
      <w:r w:rsidRPr="002046A1">
        <w:t> =  -log[H</w:t>
      </w:r>
      <w:r w:rsidRPr="002046A1">
        <w:rPr>
          <w:vertAlign w:val="superscript"/>
        </w:rPr>
        <w:t>+</w:t>
      </w:r>
      <w:r w:rsidRPr="002046A1">
        <w:t>]  =  -log(1.0 × 10</w:t>
      </w:r>
      <w:r w:rsidRPr="002046A1">
        <w:rPr>
          <w:vertAlign w:val="superscript"/>
        </w:rPr>
        <w:t>-6</w:t>
      </w:r>
      <w:r w:rsidRPr="002046A1">
        <w:t>)  = 6.00 </w:t>
      </w:r>
    </w:p>
    <w:p w:rsidR="002046A1" w:rsidRPr="002046A1" w:rsidRDefault="002046A1" w:rsidP="002046A1">
      <w:r w:rsidRPr="002046A1">
        <w:t>When taking the logarithm of a number, report the same number of decimal positions in the answer as you had significant figures in the original value. Because 1.0 × 10</w:t>
      </w:r>
      <w:r w:rsidRPr="002046A1">
        <w:rPr>
          <w:vertAlign w:val="superscript"/>
        </w:rPr>
        <w:t>-6</w:t>
      </w:r>
      <w:r w:rsidRPr="002046A1">
        <w:t> has two significant figures, we report 6.00 as the pH for a solution with 1.0 × 10</w:t>
      </w:r>
      <w:r w:rsidRPr="002046A1">
        <w:rPr>
          <w:vertAlign w:val="superscript"/>
        </w:rPr>
        <w:t>-6</w:t>
      </w:r>
      <w:r w:rsidRPr="002046A1">
        <w:t> M H</w:t>
      </w:r>
      <w:r w:rsidRPr="002046A1">
        <w:rPr>
          <w:vertAlign w:val="superscript"/>
        </w:rPr>
        <w:t>+</w:t>
      </w:r>
      <w:r w:rsidRPr="002046A1">
        <w:t>. The table below shows a range of pH values for dilute solutions of acid and base.</w:t>
      </w:r>
    </w:p>
    <w:p w:rsidR="002046A1" w:rsidRDefault="002046A1" w:rsidP="002046A1">
      <w:r w:rsidRPr="002046A1">
        <w:t> </w:t>
      </w:r>
    </w:p>
    <w:p w:rsidR="00B23818" w:rsidRPr="002046A1" w:rsidRDefault="00B23818" w:rsidP="002046A1"/>
    <w:p w:rsidR="002046A1" w:rsidRPr="002046A1" w:rsidRDefault="002046A1" w:rsidP="002046A1">
      <w:proofErr w:type="gramStart"/>
      <w:r w:rsidRPr="002046A1">
        <w:rPr>
          <w:b/>
          <w:bCs/>
        </w:rPr>
        <w:lastRenderedPageBreak/>
        <w:t>pH</w:t>
      </w:r>
      <w:proofErr w:type="gramEnd"/>
      <w:r w:rsidRPr="002046A1">
        <w:rPr>
          <w:b/>
          <w:bCs/>
        </w:rPr>
        <w:t xml:space="preserve"> of Dilute Solutions of Acids and Bases at 25 °C</w:t>
      </w:r>
    </w:p>
    <w:tbl>
      <w:tblPr>
        <w:tblW w:w="11520" w:type="dxa"/>
        <w:jc w:val="center"/>
        <w:tblCellMar>
          <w:left w:w="0" w:type="dxa"/>
          <w:right w:w="0" w:type="dxa"/>
        </w:tblCellMar>
        <w:tblLook w:val="04A0" w:firstRow="1" w:lastRow="0" w:firstColumn="1" w:lastColumn="0" w:noHBand="0" w:noVBand="1"/>
      </w:tblPr>
      <w:tblGrid>
        <w:gridCol w:w="3784"/>
        <w:gridCol w:w="4078"/>
        <w:gridCol w:w="3658"/>
      </w:tblGrid>
      <w:tr w:rsidR="002046A1" w:rsidRPr="002046A1" w:rsidTr="00F23820">
        <w:trPr>
          <w:jc w:val="center"/>
        </w:trPr>
        <w:tc>
          <w:tcPr>
            <w:tcW w:w="900" w:type="dxa"/>
            <w:tcBorders>
              <w:top w:val="nil"/>
              <w:left w:val="nil"/>
              <w:bottom w:val="nil"/>
              <w:right w:val="nil"/>
            </w:tcBorders>
            <w:shd w:val="clear" w:color="auto" w:fill="auto"/>
            <w:hideMark/>
          </w:tcPr>
          <w:p w:rsidR="002046A1" w:rsidRPr="002046A1" w:rsidRDefault="002046A1" w:rsidP="002046A1">
            <w:r w:rsidRPr="002046A1">
              <w:rPr>
                <w:b/>
                <w:bCs/>
              </w:rPr>
              <w:t>[H+]</w:t>
            </w:r>
          </w:p>
        </w:tc>
        <w:tc>
          <w:tcPr>
            <w:tcW w:w="970" w:type="dxa"/>
            <w:tcBorders>
              <w:top w:val="nil"/>
              <w:left w:val="nil"/>
              <w:bottom w:val="nil"/>
              <w:right w:val="nil"/>
            </w:tcBorders>
            <w:shd w:val="clear" w:color="auto" w:fill="auto"/>
            <w:hideMark/>
          </w:tcPr>
          <w:p w:rsidR="002046A1" w:rsidRPr="002046A1" w:rsidRDefault="002046A1" w:rsidP="002046A1">
            <w:r w:rsidRPr="002046A1">
              <w:rPr>
                <w:b/>
                <w:bCs/>
              </w:rPr>
              <w:t>[OH-</w:t>
            </w:r>
            <w:r w:rsidRPr="002046A1">
              <w:t>]</w:t>
            </w:r>
          </w:p>
        </w:tc>
        <w:tc>
          <w:tcPr>
            <w:tcW w:w="870" w:type="dxa"/>
            <w:tcBorders>
              <w:top w:val="nil"/>
              <w:left w:val="nil"/>
              <w:bottom w:val="nil"/>
              <w:right w:val="nil"/>
            </w:tcBorders>
            <w:shd w:val="clear" w:color="auto" w:fill="auto"/>
            <w:hideMark/>
          </w:tcPr>
          <w:p w:rsidR="002046A1" w:rsidRPr="002046A1" w:rsidRDefault="002046A1" w:rsidP="002046A1">
            <w:r w:rsidRPr="002046A1">
              <w:rPr>
                <w:b/>
                <w:bCs/>
              </w:rPr>
              <w:t>pH</w:t>
            </w:r>
          </w:p>
        </w:tc>
      </w:tr>
      <w:tr w:rsidR="002046A1" w:rsidRPr="002046A1" w:rsidTr="00F23820">
        <w:trPr>
          <w:jc w:val="center"/>
        </w:trPr>
        <w:tc>
          <w:tcPr>
            <w:tcW w:w="900" w:type="dxa"/>
            <w:tcBorders>
              <w:top w:val="nil"/>
              <w:left w:val="nil"/>
              <w:bottom w:val="nil"/>
              <w:right w:val="nil"/>
            </w:tcBorders>
            <w:shd w:val="clear" w:color="auto" w:fill="auto"/>
            <w:hideMark/>
          </w:tcPr>
          <w:p w:rsidR="002046A1" w:rsidRPr="002046A1" w:rsidRDefault="002046A1" w:rsidP="002046A1">
            <w:r w:rsidRPr="002046A1">
              <w:t>1.0</w:t>
            </w:r>
            <w:r w:rsidR="0093358D">
              <w:t xml:space="preserve"> (10</w:t>
            </w:r>
            <w:r w:rsidR="0093358D">
              <w:rPr>
                <w:vertAlign w:val="superscript"/>
              </w:rPr>
              <w:t>0</w:t>
            </w:r>
            <w:r w:rsidR="0093358D">
              <w:t>)</w:t>
            </w:r>
          </w:p>
        </w:tc>
        <w:tc>
          <w:tcPr>
            <w:tcW w:w="97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-14</w:t>
            </w:r>
          </w:p>
        </w:tc>
        <w:tc>
          <w:tcPr>
            <w:tcW w:w="870" w:type="dxa"/>
            <w:tcBorders>
              <w:top w:val="nil"/>
              <w:left w:val="nil"/>
              <w:bottom w:val="nil"/>
              <w:right w:val="nil"/>
            </w:tcBorders>
            <w:shd w:val="clear" w:color="auto" w:fill="auto"/>
            <w:hideMark/>
          </w:tcPr>
          <w:p w:rsidR="002046A1" w:rsidRPr="002046A1" w:rsidRDefault="002046A1" w:rsidP="002046A1">
            <w:r w:rsidRPr="002046A1">
              <w:t>0.00</w:t>
            </w:r>
          </w:p>
        </w:tc>
      </w:tr>
      <w:tr w:rsidR="002046A1" w:rsidRPr="002046A1" w:rsidTr="00F23820">
        <w:trPr>
          <w:jc w:val="center"/>
        </w:trPr>
        <w:tc>
          <w:tcPr>
            <w:tcW w:w="90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-1</w:t>
            </w:r>
          </w:p>
        </w:tc>
        <w:tc>
          <w:tcPr>
            <w:tcW w:w="97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-13</w:t>
            </w:r>
          </w:p>
        </w:tc>
        <w:tc>
          <w:tcPr>
            <w:tcW w:w="870" w:type="dxa"/>
            <w:tcBorders>
              <w:top w:val="nil"/>
              <w:left w:val="nil"/>
              <w:bottom w:val="nil"/>
              <w:right w:val="nil"/>
            </w:tcBorders>
            <w:shd w:val="clear" w:color="auto" w:fill="auto"/>
            <w:hideMark/>
          </w:tcPr>
          <w:p w:rsidR="002046A1" w:rsidRPr="002046A1" w:rsidRDefault="002046A1" w:rsidP="002046A1">
            <w:r w:rsidRPr="002046A1">
              <w:t>1.00</w:t>
            </w:r>
          </w:p>
        </w:tc>
      </w:tr>
      <w:tr w:rsidR="002046A1" w:rsidRPr="002046A1" w:rsidTr="00F23820">
        <w:trPr>
          <w:jc w:val="center"/>
        </w:trPr>
        <w:tc>
          <w:tcPr>
            <w:tcW w:w="90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-2</w:t>
            </w:r>
          </w:p>
        </w:tc>
        <w:tc>
          <w:tcPr>
            <w:tcW w:w="97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-12</w:t>
            </w:r>
          </w:p>
        </w:tc>
        <w:tc>
          <w:tcPr>
            <w:tcW w:w="870" w:type="dxa"/>
            <w:tcBorders>
              <w:top w:val="nil"/>
              <w:left w:val="nil"/>
              <w:bottom w:val="nil"/>
              <w:right w:val="nil"/>
            </w:tcBorders>
            <w:shd w:val="clear" w:color="auto" w:fill="auto"/>
            <w:hideMark/>
          </w:tcPr>
          <w:p w:rsidR="002046A1" w:rsidRPr="002046A1" w:rsidRDefault="002046A1" w:rsidP="002046A1">
            <w:r w:rsidRPr="002046A1">
              <w:t>2.00</w:t>
            </w:r>
          </w:p>
        </w:tc>
      </w:tr>
      <w:tr w:rsidR="002046A1" w:rsidRPr="002046A1" w:rsidTr="00F23820">
        <w:trPr>
          <w:jc w:val="center"/>
        </w:trPr>
        <w:tc>
          <w:tcPr>
            <w:tcW w:w="90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-3</w:t>
            </w:r>
          </w:p>
        </w:tc>
        <w:tc>
          <w:tcPr>
            <w:tcW w:w="97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-11</w:t>
            </w:r>
          </w:p>
        </w:tc>
        <w:tc>
          <w:tcPr>
            <w:tcW w:w="870" w:type="dxa"/>
            <w:tcBorders>
              <w:top w:val="nil"/>
              <w:left w:val="nil"/>
              <w:bottom w:val="nil"/>
              <w:right w:val="nil"/>
            </w:tcBorders>
            <w:shd w:val="clear" w:color="auto" w:fill="auto"/>
            <w:hideMark/>
          </w:tcPr>
          <w:p w:rsidR="002046A1" w:rsidRPr="002046A1" w:rsidRDefault="002046A1" w:rsidP="002046A1">
            <w:r w:rsidRPr="002046A1">
              <w:t>3.00</w:t>
            </w:r>
          </w:p>
        </w:tc>
      </w:tr>
      <w:tr w:rsidR="002046A1" w:rsidRPr="002046A1" w:rsidTr="00F23820">
        <w:trPr>
          <w:jc w:val="center"/>
        </w:trPr>
        <w:tc>
          <w:tcPr>
            <w:tcW w:w="90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-4</w:t>
            </w:r>
          </w:p>
        </w:tc>
        <w:tc>
          <w:tcPr>
            <w:tcW w:w="97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-10</w:t>
            </w:r>
          </w:p>
        </w:tc>
        <w:tc>
          <w:tcPr>
            <w:tcW w:w="870" w:type="dxa"/>
            <w:tcBorders>
              <w:top w:val="nil"/>
              <w:left w:val="nil"/>
              <w:bottom w:val="nil"/>
              <w:right w:val="nil"/>
            </w:tcBorders>
            <w:shd w:val="clear" w:color="auto" w:fill="auto"/>
            <w:hideMark/>
          </w:tcPr>
          <w:p w:rsidR="002046A1" w:rsidRPr="002046A1" w:rsidRDefault="002046A1" w:rsidP="002046A1">
            <w:r w:rsidRPr="002046A1">
              <w:t>4.00</w:t>
            </w:r>
          </w:p>
        </w:tc>
      </w:tr>
      <w:tr w:rsidR="002046A1" w:rsidRPr="002046A1" w:rsidTr="00F23820">
        <w:trPr>
          <w:jc w:val="center"/>
        </w:trPr>
        <w:tc>
          <w:tcPr>
            <w:tcW w:w="90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-5</w:t>
            </w:r>
          </w:p>
        </w:tc>
        <w:tc>
          <w:tcPr>
            <w:tcW w:w="97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-9</w:t>
            </w:r>
          </w:p>
        </w:tc>
        <w:tc>
          <w:tcPr>
            <w:tcW w:w="870" w:type="dxa"/>
            <w:tcBorders>
              <w:top w:val="nil"/>
              <w:left w:val="nil"/>
              <w:bottom w:val="nil"/>
              <w:right w:val="nil"/>
            </w:tcBorders>
            <w:shd w:val="clear" w:color="auto" w:fill="auto"/>
            <w:hideMark/>
          </w:tcPr>
          <w:p w:rsidR="002046A1" w:rsidRPr="002046A1" w:rsidRDefault="002046A1" w:rsidP="002046A1">
            <w:r w:rsidRPr="002046A1">
              <w:t>5.00</w:t>
            </w:r>
          </w:p>
        </w:tc>
      </w:tr>
      <w:tr w:rsidR="002046A1" w:rsidRPr="002046A1" w:rsidTr="00F23820">
        <w:trPr>
          <w:jc w:val="center"/>
        </w:trPr>
        <w:tc>
          <w:tcPr>
            <w:tcW w:w="90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-6</w:t>
            </w:r>
          </w:p>
        </w:tc>
        <w:tc>
          <w:tcPr>
            <w:tcW w:w="97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-8</w:t>
            </w:r>
          </w:p>
        </w:tc>
        <w:tc>
          <w:tcPr>
            <w:tcW w:w="870" w:type="dxa"/>
            <w:tcBorders>
              <w:top w:val="nil"/>
              <w:left w:val="nil"/>
              <w:bottom w:val="nil"/>
              <w:right w:val="nil"/>
            </w:tcBorders>
            <w:shd w:val="clear" w:color="auto" w:fill="auto"/>
            <w:hideMark/>
          </w:tcPr>
          <w:p w:rsidR="002046A1" w:rsidRPr="002046A1" w:rsidRDefault="002046A1" w:rsidP="002046A1">
            <w:r w:rsidRPr="002046A1">
              <w:t>6.00</w:t>
            </w:r>
          </w:p>
        </w:tc>
      </w:tr>
      <w:tr w:rsidR="002046A1" w:rsidRPr="002046A1" w:rsidTr="00F23820">
        <w:trPr>
          <w:jc w:val="center"/>
        </w:trPr>
        <w:tc>
          <w:tcPr>
            <w:tcW w:w="90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-7</w:t>
            </w:r>
          </w:p>
        </w:tc>
        <w:tc>
          <w:tcPr>
            <w:tcW w:w="97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-7</w:t>
            </w:r>
          </w:p>
        </w:tc>
        <w:tc>
          <w:tcPr>
            <w:tcW w:w="870" w:type="dxa"/>
            <w:tcBorders>
              <w:top w:val="nil"/>
              <w:left w:val="nil"/>
              <w:bottom w:val="nil"/>
              <w:right w:val="nil"/>
            </w:tcBorders>
            <w:shd w:val="clear" w:color="auto" w:fill="auto"/>
            <w:hideMark/>
          </w:tcPr>
          <w:p w:rsidR="002046A1" w:rsidRPr="002046A1" w:rsidRDefault="002046A1" w:rsidP="002046A1">
            <w:r w:rsidRPr="002046A1">
              <w:t>7.00</w:t>
            </w:r>
          </w:p>
        </w:tc>
      </w:tr>
      <w:tr w:rsidR="002046A1" w:rsidRPr="002046A1" w:rsidTr="00F23820">
        <w:trPr>
          <w:jc w:val="center"/>
        </w:trPr>
        <w:tc>
          <w:tcPr>
            <w:tcW w:w="90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-8</w:t>
            </w:r>
          </w:p>
        </w:tc>
        <w:tc>
          <w:tcPr>
            <w:tcW w:w="97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-6</w:t>
            </w:r>
          </w:p>
        </w:tc>
        <w:tc>
          <w:tcPr>
            <w:tcW w:w="870" w:type="dxa"/>
            <w:tcBorders>
              <w:top w:val="nil"/>
              <w:left w:val="nil"/>
              <w:bottom w:val="nil"/>
              <w:right w:val="nil"/>
            </w:tcBorders>
            <w:shd w:val="clear" w:color="auto" w:fill="auto"/>
            <w:hideMark/>
          </w:tcPr>
          <w:p w:rsidR="002046A1" w:rsidRPr="002046A1" w:rsidRDefault="002046A1" w:rsidP="002046A1">
            <w:r w:rsidRPr="002046A1">
              <w:t>8.00</w:t>
            </w:r>
          </w:p>
        </w:tc>
      </w:tr>
      <w:tr w:rsidR="002046A1" w:rsidRPr="002046A1" w:rsidTr="00F23820">
        <w:trPr>
          <w:jc w:val="center"/>
        </w:trPr>
        <w:tc>
          <w:tcPr>
            <w:tcW w:w="90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-9</w:t>
            </w:r>
          </w:p>
        </w:tc>
        <w:tc>
          <w:tcPr>
            <w:tcW w:w="97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-5</w:t>
            </w:r>
          </w:p>
        </w:tc>
        <w:tc>
          <w:tcPr>
            <w:tcW w:w="870" w:type="dxa"/>
            <w:tcBorders>
              <w:top w:val="nil"/>
              <w:left w:val="nil"/>
              <w:bottom w:val="nil"/>
              <w:right w:val="nil"/>
            </w:tcBorders>
            <w:shd w:val="clear" w:color="auto" w:fill="auto"/>
            <w:hideMark/>
          </w:tcPr>
          <w:p w:rsidR="002046A1" w:rsidRPr="002046A1" w:rsidRDefault="002046A1" w:rsidP="002046A1">
            <w:r w:rsidRPr="002046A1">
              <w:t>9.00</w:t>
            </w:r>
          </w:p>
        </w:tc>
      </w:tr>
      <w:tr w:rsidR="002046A1" w:rsidRPr="002046A1" w:rsidTr="00F23820">
        <w:trPr>
          <w:jc w:val="center"/>
        </w:trPr>
        <w:tc>
          <w:tcPr>
            <w:tcW w:w="90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-10</w:t>
            </w:r>
          </w:p>
        </w:tc>
        <w:tc>
          <w:tcPr>
            <w:tcW w:w="97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-4</w:t>
            </w:r>
          </w:p>
        </w:tc>
        <w:tc>
          <w:tcPr>
            <w:tcW w:w="870" w:type="dxa"/>
            <w:tcBorders>
              <w:top w:val="nil"/>
              <w:left w:val="nil"/>
              <w:bottom w:val="nil"/>
              <w:right w:val="nil"/>
            </w:tcBorders>
            <w:shd w:val="clear" w:color="auto" w:fill="auto"/>
            <w:hideMark/>
          </w:tcPr>
          <w:p w:rsidR="002046A1" w:rsidRPr="002046A1" w:rsidRDefault="002046A1" w:rsidP="002046A1">
            <w:r w:rsidRPr="002046A1">
              <w:t>10.00</w:t>
            </w:r>
          </w:p>
        </w:tc>
      </w:tr>
      <w:tr w:rsidR="002046A1" w:rsidRPr="002046A1" w:rsidTr="00F23820">
        <w:trPr>
          <w:jc w:val="center"/>
        </w:trPr>
        <w:tc>
          <w:tcPr>
            <w:tcW w:w="90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-11</w:t>
            </w:r>
          </w:p>
        </w:tc>
        <w:tc>
          <w:tcPr>
            <w:tcW w:w="97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-3</w:t>
            </w:r>
          </w:p>
        </w:tc>
        <w:tc>
          <w:tcPr>
            <w:tcW w:w="870" w:type="dxa"/>
            <w:tcBorders>
              <w:top w:val="nil"/>
              <w:left w:val="nil"/>
              <w:bottom w:val="nil"/>
              <w:right w:val="nil"/>
            </w:tcBorders>
            <w:shd w:val="clear" w:color="auto" w:fill="auto"/>
            <w:hideMark/>
          </w:tcPr>
          <w:p w:rsidR="002046A1" w:rsidRPr="002046A1" w:rsidRDefault="002046A1" w:rsidP="002046A1">
            <w:r w:rsidRPr="002046A1">
              <w:t>11.00</w:t>
            </w:r>
          </w:p>
        </w:tc>
      </w:tr>
      <w:tr w:rsidR="002046A1" w:rsidRPr="002046A1" w:rsidTr="00F23820">
        <w:trPr>
          <w:jc w:val="center"/>
        </w:trPr>
        <w:tc>
          <w:tcPr>
            <w:tcW w:w="90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-12</w:t>
            </w:r>
          </w:p>
        </w:tc>
        <w:tc>
          <w:tcPr>
            <w:tcW w:w="97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-2</w:t>
            </w:r>
          </w:p>
        </w:tc>
        <w:tc>
          <w:tcPr>
            <w:tcW w:w="870" w:type="dxa"/>
            <w:tcBorders>
              <w:top w:val="nil"/>
              <w:left w:val="nil"/>
              <w:bottom w:val="nil"/>
              <w:right w:val="nil"/>
            </w:tcBorders>
            <w:shd w:val="clear" w:color="auto" w:fill="auto"/>
            <w:hideMark/>
          </w:tcPr>
          <w:p w:rsidR="002046A1" w:rsidRPr="002046A1" w:rsidRDefault="002046A1" w:rsidP="002046A1">
            <w:r w:rsidRPr="002046A1">
              <w:t>12.00</w:t>
            </w:r>
          </w:p>
        </w:tc>
      </w:tr>
      <w:tr w:rsidR="002046A1" w:rsidRPr="002046A1" w:rsidTr="00F23820">
        <w:trPr>
          <w:jc w:val="center"/>
        </w:trPr>
        <w:tc>
          <w:tcPr>
            <w:tcW w:w="90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-13</w:t>
            </w:r>
          </w:p>
        </w:tc>
        <w:tc>
          <w:tcPr>
            <w:tcW w:w="97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-1</w:t>
            </w:r>
          </w:p>
        </w:tc>
        <w:tc>
          <w:tcPr>
            <w:tcW w:w="870" w:type="dxa"/>
            <w:tcBorders>
              <w:top w:val="nil"/>
              <w:left w:val="nil"/>
              <w:bottom w:val="nil"/>
              <w:right w:val="nil"/>
            </w:tcBorders>
            <w:shd w:val="clear" w:color="auto" w:fill="auto"/>
            <w:hideMark/>
          </w:tcPr>
          <w:p w:rsidR="002046A1" w:rsidRPr="002046A1" w:rsidRDefault="002046A1" w:rsidP="002046A1">
            <w:r w:rsidRPr="002046A1">
              <w:t>13.00</w:t>
            </w:r>
          </w:p>
        </w:tc>
      </w:tr>
      <w:tr w:rsidR="002046A1" w:rsidRPr="002046A1" w:rsidTr="00F23820">
        <w:trPr>
          <w:jc w:val="center"/>
        </w:trPr>
        <w:tc>
          <w:tcPr>
            <w:tcW w:w="900" w:type="dxa"/>
            <w:tcBorders>
              <w:top w:val="nil"/>
              <w:left w:val="nil"/>
              <w:bottom w:val="nil"/>
              <w:right w:val="nil"/>
            </w:tcBorders>
            <w:shd w:val="clear" w:color="auto" w:fill="auto"/>
            <w:hideMark/>
          </w:tcPr>
          <w:p w:rsidR="002046A1" w:rsidRPr="002046A1" w:rsidRDefault="002046A1" w:rsidP="002046A1">
            <w:r w:rsidRPr="002046A1">
              <w:t>1.0 × 10</w:t>
            </w:r>
            <w:r w:rsidRPr="002046A1">
              <w:rPr>
                <w:vertAlign w:val="superscript"/>
              </w:rPr>
              <w:t>-14</w:t>
            </w:r>
          </w:p>
        </w:tc>
        <w:tc>
          <w:tcPr>
            <w:tcW w:w="970" w:type="dxa"/>
            <w:tcBorders>
              <w:top w:val="nil"/>
              <w:left w:val="nil"/>
              <w:bottom w:val="nil"/>
              <w:right w:val="nil"/>
            </w:tcBorders>
            <w:shd w:val="clear" w:color="auto" w:fill="auto"/>
            <w:hideMark/>
          </w:tcPr>
          <w:p w:rsidR="002046A1" w:rsidRPr="002046A1" w:rsidRDefault="002046A1" w:rsidP="002046A1">
            <w:r w:rsidRPr="002046A1">
              <w:t>1.0</w:t>
            </w:r>
          </w:p>
        </w:tc>
        <w:tc>
          <w:tcPr>
            <w:tcW w:w="870" w:type="dxa"/>
            <w:tcBorders>
              <w:top w:val="nil"/>
              <w:left w:val="nil"/>
              <w:bottom w:val="nil"/>
              <w:right w:val="nil"/>
            </w:tcBorders>
            <w:shd w:val="clear" w:color="auto" w:fill="auto"/>
            <w:hideMark/>
          </w:tcPr>
          <w:p w:rsidR="002046A1" w:rsidRPr="002046A1" w:rsidRDefault="002046A1" w:rsidP="002046A1">
            <w:r w:rsidRPr="002046A1">
              <w:t>14.00</w:t>
            </w:r>
          </w:p>
        </w:tc>
      </w:tr>
    </w:tbl>
    <w:p w:rsidR="002046A1" w:rsidRPr="002046A1" w:rsidRDefault="002046A1" w:rsidP="002046A1">
      <w:r w:rsidRPr="002046A1">
        <w:t> </w:t>
      </w:r>
    </w:p>
    <w:p w:rsidR="002046A1" w:rsidRPr="002046A1" w:rsidRDefault="002046A1" w:rsidP="002046A1">
      <w:r w:rsidRPr="002046A1">
        <w:t xml:space="preserve">This table illustrates several important points about </w:t>
      </w:r>
      <w:proofErr w:type="spellStart"/>
      <w:r w:rsidRPr="002046A1">
        <w:t>pH.</w:t>
      </w:r>
      <w:proofErr w:type="spellEnd"/>
      <w:r w:rsidRPr="002046A1">
        <w:t xml:space="preserve"> Notice that</w:t>
      </w:r>
    </w:p>
    <w:p w:rsidR="002046A1" w:rsidRPr="002046A1" w:rsidRDefault="002046A1" w:rsidP="002046A1">
      <w:pPr>
        <w:numPr>
          <w:ilvl w:val="0"/>
          <w:numId w:val="1"/>
        </w:numPr>
      </w:pPr>
      <w:r w:rsidRPr="002046A1">
        <w:t>When the solution is acidic ([H</w:t>
      </w:r>
      <w:r w:rsidRPr="002046A1">
        <w:rPr>
          <w:vertAlign w:val="superscript"/>
        </w:rPr>
        <w:t>+</w:t>
      </w:r>
      <w:r w:rsidRPr="002046A1">
        <w:t>] &gt; [OH</w:t>
      </w:r>
      <w:r w:rsidRPr="002046A1">
        <w:rPr>
          <w:vertAlign w:val="superscript"/>
        </w:rPr>
        <w:t>-</w:t>
      </w:r>
      <w:r w:rsidRPr="002046A1">
        <w:t>), the pH is less than 7.</w:t>
      </w:r>
    </w:p>
    <w:p w:rsidR="002046A1" w:rsidRPr="002046A1" w:rsidRDefault="002046A1" w:rsidP="002046A1">
      <w:pPr>
        <w:numPr>
          <w:ilvl w:val="0"/>
          <w:numId w:val="1"/>
        </w:numPr>
      </w:pPr>
      <w:r w:rsidRPr="002046A1">
        <w:t>When the solution is basic ([OH</w:t>
      </w:r>
      <w:r w:rsidRPr="002046A1">
        <w:rPr>
          <w:vertAlign w:val="superscript"/>
        </w:rPr>
        <w:t>-</w:t>
      </w:r>
      <w:r w:rsidRPr="002046A1">
        <w:t>] &gt; [H</w:t>
      </w:r>
      <w:r w:rsidRPr="002046A1">
        <w:rPr>
          <w:vertAlign w:val="superscript"/>
        </w:rPr>
        <w:t>+</w:t>
      </w:r>
      <w:r w:rsidRPr="002046A1">
        <w:t>]), the pH is greater than 7. </w:t>
      </w:r>
    </w:p>
    <w:p w:rsidR="002046A1" w:rsidRPr="002046A1" w:rsidRDefault="002046A1" w:rsidP="002046A1">
      <w:pPr>
        <w:numPr>
          <w:ilvl w:val="0"/>
          <w:numId w:val="1"/>
        </w:numPr>
      </w:pPr>
      <w:r w:rsidRPr="002046A1">
        <w:t>When the solution is neutral ([H</w:t>
      </w:r>
      <w:r w:rsidRPr="002046A1">
        <w:rPr>
          <w:vertAlign w:val="superscript"/>
        </w:rPr>
        <w:t>+</w:t>
      </w:r>
      <w:r w:rsidRPr="002046A1">
        <w:t>] = [OH</w:t>
      </w:r>
      <w:r w:rsidRPr="002046A1">
        <w:rPr>
          <w:vertAlign w:val="superscript"/>
        </w:rPr>
        <w:t>-</w:t>
      </w:r>
      <w:r w:rsidRPr="002046A1">
        <w:t xml:space="preserve">]), the pH is 7. (Solutions with </w:t>
      </w:r>
      <w:proofErr w:type="gramStart"/>
      <w:r w:rsidRPr="002046A1">
        <w:t>pH's</w:t>
      </w:r>
      <w:proofErr w:type="gramEnd"/>
      <w:r w:rsidRPr="002046A1">
        <w:t xml:space="preserve"> between 6 and 8 are often considered essentially neutral.)</w:t>
      </w:r>
    </w:p>
    <w:p w:rsidR="002046A1" w:rsidRPr="002046A1" w:rsidRDefault="002046A1" w:rsidP="002046A1">
      <w:r w:rsidRPr="002046A1">
        <w:t>Also notice that</w:t>
      </w:r>
    </w:p>
    <w:p w:rsidR="002046A1" w:rsidRPr="002046A1" w:rsidRDefault="002046A1" w:rsidP="002046A1">
      <w:pPr>
        <w:numPr>
          <w:ilvl w:val="0"/>
          <w:numId w:val="2"/>
        </w:numPr>
      </w:pPr>
      <w:r w:rsidRPr="002046A1">
        <w:t>As a solution gets more acidic (as [H</w:t>
      </w:r>
      <w:r w:rsidRPr="002046A1">
        <w:rPr>
          <w:vertAlign w:val="superscript"/>
        </w:rPr>
        <w:t>+</w:t>
      </w:r>
      <w:r w:rsidRPr="002046A1">
        <w:t>] increases), the pH decreases. </w:t>
      </w:r>
    </w:p>
    <w:p w:rsidR="002046A1" w:rsidRPr="002046A1" w:rsidRDefault="002046A1" w:rsidP="002046A1">
      <w:pPr>
        <w:numPr>
          <w:ilvl w:val="0"/>
          <w:numId w:val="2"/>
        </w:numPr>
      </w:pPr>
      <w:r w:rsidRPr="002046A1">
        <w:t>As a solution gets more basic (higher [OH</w:t>
      </w:r>
      <w:r w:rsidRPr="002046A1">
        <w:rPr>
          <w:vertAlign w:val="superscript"/>
        </w:rPr>
        <w:t>-</w:t>
      </w:r>
      <w:r w:rsidRPr="002046A1">
        <w:t>]), the pH increases.</w:t>
      </w:r>
    </w:p>
    <w:p w:rsidR="002046A1" w:rsidRPr="002046A1" w:rsidRDefault="002046A1" w:rsidP="002046A1">
      <w:pPr>
        <w:numPr>
          <w:ilvl w:val="0"/>
          <w:numId w:val="2"/>
        </w:numPr>
      </w:pPr>
      <w:r w:rsidRPr="002046A1">
        <w:t>As the pH of a solution decreases by one pH unit, the concentration of H</w:t>
      </w:r>
      <w:r w:rsidRPr="002046A1">
        <w:rPr>
          <w:vertAlign w:val="superscript"/>
        </w:rPr>
        <w:t>+</w:t>
      </w:r>
      <w:r w:rsidRPr="002046A1">
        <w:t> increases by ten times.</w:t>
      </w:r>
    </w:p>
    <w:p w:rsidR="002046A1" w:rsidRPr="002046A1" w:rsidRDefault="002046A1" w:rsidP="002046A1">
      <w:pPr>
        <w:numPr>
          <w:ilvl w:val="0"/>
          <w:numId w:val="2"/>
        </w:numPr>
      </w:pPr>
      <w:r w:rsidRPr="002046A1">
        <w:t>As the pH of a solution increases by one pH unit, the concentration of OH</w:t>
      </w:r>
      <w:r w:rsidRPr="002046A1">
        <w:rPr>
          <w:vertAlign w:val="superscript"/>
        </w:rPr>
        <w:t>-</w:t>
      </w:r>
      <w:r w:rsidRPr="002046A1">
        <w:t> increases by ten times.</w:t>
      </w:r>
    </w:p>
    <w:p w:rsidR="0041180B" w:rsidRDefault="002046A1" w:rsidP="002046A1">
      <w:pPr>
        <w:rPr>
          <w:b/>
        </w:rPr>
      </w:pPr>
      <w:r w:rsidRPr="002046A1">
        <w:lastRenderedPageBreak/>
        <w:t>The pH, [H</w:t>
      </w:r>
      <w:r w:rsidRPr="002046A1">
        <w:rPr>
          <w:vertAlign w:val="superscript"/>
        </w:rPr>
        <w:t>+</w:t>
      </w:r>
      <w:r w:rsidRPr="002046A1">
        <w:t>], and [OH</w:t>
      </w:r>
      <w:r w:rsidRPr="002046A1">
        <w:rPr>
          <w:vertAlign w:val="superscript"/>
        </w:rPr>
        <w:t>-</w:t>
      </w:r>
      <w:r w:rsidRPr="002046A1">
        <w:t xml:space="preserve">] of some common solutions are listed in the figure below. Notice that gastric juice in our stomach has a pH of about 1.4, and orange juice has a pH of about 2.8. Thus, gastric juice is </w:t>
      </w:r>
      <w:r w:rsidRPr="0041180B">
        <w:rPr>
          <w:b/>
          <w:u w:val="single"/>
        </w:rPr>
        <w:t xml:space="preserve">more than ten times </w:t>
      </w:r>
      <w:r w:rsidRPr="002046A1">
        <w:t>more concentrated in H</w:t>
      </w:r>
      <w:r w:rsidRPr="002046A1">
        <w:rPr>
          <w:vertAlign w:val="superscript"/>
        </w:rPr>
        <w:t>+</w:t>
      </w:r>
      <w:r w:rsidRPr="002046A1">
        <w:t xml:space="preserve"> than orange juice. </w:t>
      </w:r>
      <w:r w:rsidR="0041180B" w:rsidRPr="0041180B">
        <w:rPr>
          <w:b/>
        </w:rPr>
        <w:t xml:space="preserve">A change of 1 on the pH scale is actually 10 </w:t>
      </w:r>
      <w:r w:rsidR="0041180B">
        <w:rPr>
          <w:b/>
        </w:rPr>
        <w:t>fold!</w:t>
      </w:r>
    </w:p>
    <w:p w:rsidR="0041180B" w:rsidRDefault="0041180B" w:rsidP="002046A1">
      <w:pPr>
        <w:rPr>
          <w:b/>
        </w:rPr>
      </w:pPr>
    </w:p>
    <w:p w:rsidR="002046A1" w:rsidRPr="002046A1" w:rsidRDefault="0041180B" w:rsidP="002046A1">
      <w:r>
        <w:t xml:space="preserve"> </w:t>
      </w:r>
      <w:r w:rsidR="002046A1" w:rsidRPr="002046A1">
        <w:drawing>
          <wp:inline distT="0" distB="0" distL="0" distR="0" wp14:anchorId="7D1A3842" wp14:editId="71ED26BF">
            <wp:extent cx="5410200" cy="2552700"/>
            <wp:effectExtent l="0" t="0" r="0" b="0"/>
            <wp:docPr id="4" name="Picture 4" descr="http://preparatorychemistry.com/images/pH_range_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reparatorychemistry.com/images/pH_range_Ne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200" cy="2552700"/>
                    </a:xfrm>
                    <a:prstGeom prst="rect">
                      <a:avLst/>
                    </a:prstGeom>
                    <a:noFill/>
                    <a:ln>
                      <a:noFill/>
                    </a:ln>
                  </pic:spPr>
                </pic:pic>
              </a:graphicData>
            </a:graphic>
          </wp:inline>
        </w:drawing>
      </w:r>
    </w:p>
    <w:p w:rsidR="002046A1" w:rsidRDefault="002046A1" w:rsidP="002046A1">
      <w:proofErr w:type="gramStart"/>
      <w:r w:rsidRPr="002046A1">
        <w:rPr>
          <w:b/>
          <w:bCs/>
        </w:rPr>
        <w:t>pH</w:t>
      </w:r>
      <w:proofErr w:type="gramEnd"/>
      <w:r w:rsidRPr="002046A1">
        <w:rPr>
          <w:b/>
          <w:bCs/>
        </w:rPr>
        <w:t xml:space="preserve"> of Common Substances  </w:t>
      </w:r>
      <w:r w:rsidRPr="002046A1">
        <w:t xml:space="preserve">   Acidic solutions have pH values less than 7, and basic solutions have pH values greater than 7. The more acidic the solution is, the lower its </w:t>
      </w:r>
      <w:proofErr w:type="spellStart"/>
      <w:r w:rsidRPr="002046A1">
        <w:t>pH.</w:t>
      </w:r>
      <w:proofErr w:type="spellEnd"/>
      <w:r w:rsidRPr="002046A1">
        <w:t xml:space="preserve"> The more basic a solution is, the higher the </w:t>
      </w:r>
      <w:proofErr w:type="spellStart"/>
      <w:r w:rsidRPr="002046A1">
        <w:t>pH.</w:t>
      </w:r>
      <w:proofErr w:type="spellEnd"/>
      <w:r w:rsidRPr="002046A1">
        <w:t xml:space="preserve"> The corresponding H</w:t>
      </w:r>
      <w:r w:rsidRPr="002046A1">
        <w:rPr>
          <w:vertAlign w:val="superscript"/>
        </w:rPr>
        <w:t>+</w:t>
      </w:r>
      <w:r w:rsidRPr="002046A1">
        <w:t> and OH</w:t>
      </w:r>
      <w:r w:rsidRPr="002046A1">
        <w:rPr>
          <w:vertAlign w:val="superscript"/>
        </w:rPr>
        <w:t>-</w:t>
      </w:r>
      <w:r w:rsidRPr="002046A1">
        <w:t> concentrations are shown in units of molarity. Notice that a decrease of one pH unit corresponds to a ten-fold increase in [H</w:t>
      </w:r>
      <w:r w:rsidRPr="002046A1">
        <w:rPr>
          <w:vertAlign w:val="superscript"/>
        </w:rPr>
        <w:t>+</w:t>
      </w:r>
      <w:r w:rsidRPr="002046A1">
        <w:t>], and an increase of one pH unit for a basic solution corresponds to a ten-fold increase in [OH</w:t>
      </w:r>
      <w:r w:rsidRPr="002046A1">
        <w:rPr>
          <w:vertAlign w:val="superscript"/>
        </w:rPr>
        <w:t>-</w:t>
      </w:r>
      <w:r w:rsidRPr="002046A1">
        <w:t>].</w:t>
      </w:r>
      <w:r w:rsidR="005C1F9E">
        <w:t xml:space="preserve"> </w:t>
      </w:r>
    </w:p>
    <w:p w:rsidR="00DA1282" w:rsidRDefault="00DA1282" w:rsidP="002046A1">
      <w:proofErr w:type="gramStart"/>
      <w:r>
        <w:t>pH</w:t>
      </w:r>
      <w:proofErr w:type="gramEnd"/>
      <w:r>
        <w:t xml:space="preserve"> + pOH= 14</w:t>
      </w:r>
    </w:p>
    <w:p w:rsidR="005C1F9E" w:rsidRDefault="005C1F9E" w:rsidP="002046A1">
      <w:r>
        <w:t xml:space="preserve"> [H</w:t>
      </w:r>
      <w:r>
        <w:rPr>
          <w:vertAlign w:val="superscript"/>
        </w:rPr>
        <w:t>+</w:t>
      </w:r>
      <w:r>
        <w:t>] + [OH</w:t>
      </w:r>
      <w:r>
        <w:rPr>
          <w:vertAlign w:val="superscript"/>
        </w:rPr>
        <w:t>-</w:t>
      </w:r>
      <w:r>
        <w:t>]</w:t>
      </w:r>
      <w:r w:rsidR="00DA1282">
        <w:t xml:space="preserve"> </w:t>
      </w:r>
      <w:r>
        <w:t xml:space="preserve">= </w:t>
      </w:r>
      <w:r w:rsidR="00DA1282">
        <w:t xml:space="preserve">1.0 x </w:t>
      </w:r>
      <w:r>
        <w:t>10</w:t>
      </w:r>
      <w:r>
        <w:rPr>
          <w:vertAlign w:val="superscript"/>
        </w:rPr>
        <w:t>-14</w:t>
      </w:r>
      <w:r>
        <w:t xml:space="preserve"> </w:t>
      </w:r>
    </w:p>
    <w:p w:rsidR="005C1F9E" w:rsidRDefault="00DA1282" w:rsidP="002046A1">
      <w:r>
        <w:rPr>
          <w:b/>
        </w:rPr>
        <w:t>Expect a test question or two</w:t>
      </w:r>
      <w:r w:rsidR="005C1F9E" w:rsidRPr="00DA1282">
        <w:rPr>
          <w:b/>
        </w:rPr>
        <w:t xml:space="preserve"> from </w:t>
      </w:r>
      <w:r w:rsidRPr="00DA1282">
        <w:rPr>
          <w:b/>
        </w:rPr>
        <w:t>the above information</w:t>
      </w:r>
      <w:r>
        <w:t>.</w:t>
      </w:r>
    </w:p>
    <w:p w:rsidR="002046A1" w:rsidRPr="002046A1" w:rsidRDefault="005C1F9E" w:rsidP="002046A1">
      <w:r w:rsidRPr="005C1F9E">
        <w:rPr>
          <w:u w:val="single"/>
        </w:rPr>
        <w:t xml:space="preserve">I will </w:t>
      </w:r>
      <w:r w:rsidRPr="005C1F9E">
        <w:rPr>
          <w:b/>
          <w:u w:val="single"/>
        </w:rPr>
        <w:t>not</w:t>
      </w:r>
      <w:r w:rsidRPr="005C1F9E">
        <w:rPr>
          <w:u w:val="single"/>
        </w:rPr>
        <w:t xml:space="preserve"> give you problems</w:t>
      </w:r>
      <w:r>
        <w:rPr>
          <w:u w:val="single"/>
        </w:rPr>
        <w:t xml:space="preserve"> (like the ones below)</w:t>
      </w:r>
      <w:r w:rsidRPr="005C1F9E">
        <w:rPr>
          <w:u w:val="single"/>
        </w:rPr>
        <w:t xml:space="preserve"> to solve on the upcoming test</w:t>
      </w:r>
      <w:r>
        <w:t xml:space="preserve">, but for those who plan to take AP </w:t>
      </w:r>
      <w:proofErr w:type="spellStart"/>
      <w:r>
        <w:t>Chem</w:t>
      </w:r>
      <w:proofErr w:type="spellEnd"/>
      <w:r>
        <w:t>, I included a few problems below for reference:</w:t>
      </w:r>
    </w:p>
    <w:p w:rsidR="002046A1" w:rsidRPr="002046A1" w:rsidRDefault="005C1F9E" w:rsidP="002046A1">
      <w:r>
        <w:rPr>
          <w:b/>
          <w:bCs/>
        </w:rPr>
        <w:t>EXAMPLE 1</w:t>
      </w:r>
      <w:r w:rsidR="002046A1" w:rsidRPr="002046A1">
        <w:t>– pH Calculations</w:t>
      </w:r>
      <w:r w:rsidR="0041180B">
        <w:t>:  T</w:t>
      </w:r>
      <w:r w:rsidR="002046A1" w:rsidRPr="002046A1">
        <w:t>he H</w:t>
      </w:r>
      <w:r w:rsidR="002046A1" w:rsidRPr="002046A1">
        <w:rPr>
          <w:vertAlign w:val="superscript"/>
        </w:rPr>
        <w:t>+</w:t>
      </w:r>
      <w:r w:rsidR="002046A1" w:rsidRPr="002046A1">
        <w:t> concentrat</w:t>
      </w:r>
      <w:r>
        <w:t>ion of a 0.025 M HCl solution i</w:t>
      </w:r>
      <w:r w:rsidR="002046A1" w:rsidRPr="002046A1">
        <w:t>s 0.025 M H</w:t>
      </w:r>
      <w:r w:rsidR="002046A1" w:rsidRPr="002046A1">
        <w:rPr>
          <w:vertAlign w:val="superscript"/>
        </w:rPr>
        <w:t>+</w:t>
      </w:r>
      <w:r w:rsidR="002046A1" w:rsidRPr="002046A1">
        <w:t>. What is its pH?</w:t>
      </w:r>
    </w:p>
    <w:p w:rsidR="002046A1" w:rsidRPr="002046A1" w:rsidRDefault="002046A1" w:rsidP="002046A1">
      <w:r w:rsidRPr="002046A1">
        <w:rPr>
          <w:b/>
          <w:bCs/>
        </w:rPr>
        <w:t>Solution</w:t>
      </w:r>
      <w:r w:rsidRPr="002046A1">
        <w:t>:</w:t>
      </w:r>
    </w:p>
    <w:p w:rsidR="002046A1" w:rsidRPr="002046A1" w:rsidRDefault="002046A1" w:rsidP="002046A1">
      <w:proofErr w:type="gramStart"/>
      <w:r w:rsidRPr="002046A1">
        <w:t>pH</w:t>
      </w:r>
      <w:proofErr w:type="gramEnd"/>
      <w:r w:rsidRPr="002046A1">
        <w:t xml:space="preserve"> = -log[H</w:t>
      </w:r>
      <w:r w:rsidRPr="002046A1">
        <w:rPr>
          <w:vertAlign w:val="superscript"/>
        </w:rPr>
        <w:t>+</w:t>
      </w:r>
      <w:r w:rsidRPr="002046A1">
        <w:t>]  =  -log(0.025) =  1.60</w:t>
      </w:r>
    </w:p>
    <w:p w:rsidR="002046A1" w:rsidRDefault="002046A1" w:rsidP="002046A1">
      <w:r w:rsidRPr="002046A1">
        <w:t> </w:t>
      </w:r>
    </w:p>
    <w:p w:rsidR="00DA1282" w:rsidRDefault="00DA1282" w:rsidP="002046A1"/>
    <w:p w:rsidR="00DA1282" w:rsidRDefault="00DA1282" w:rsidP="002046A1"/>
    <w:p w:rsidR="00DA1282" w:rsidRPr="002046A1" w:rsidRDefault="00DA1282" w:rsidP="002046A1"/>
    <w:p w:rsidR="002046A1" w:rsidRPr="002046A1" w:rsidRDefault="005C1F9E" w:rsidP="002046A1">
      <w:r>
        <w:rPr>
          <w:b/>
          <w:bCs/>
        </w:rPr>
        <w:lastRenderedPageBreak/>
        <w:t>EXAMPLE 2</w:t>
      </w:r>
      <w:r w:rsidR="002046A1" w:rsidRPr="002046A1">
        <w:t> – pH Calculations:  In Example 2, we found that the H</w:t>
      </w:r>
      <w:r w:rsidR="002046A1" w:rsidRPr="002046A1">
        <w:rPr>
          <w:vertAlign w:val="superscript"/>
        </w:rPr>
        <w:t>+</w:t>
      </w:r>
      <w:r w:rsidR="002046A1" w:rsidRPr="002046A1">
        <w:t> concentration of a 2.9 × 10</w:t>
      </w:r>
      <w:r w:rsidR="002046A1" w:rsidRPr="002046A1">
        <w:rPr>
          <w:vertAlign w:val="superscript"/>
        </w:rPr>
        <w:t>-3</w:t>
      </w:r>
      <w:r w:rsidR="002046A1" w:rsidRPr="002046A1">
        <w:t> </w:t>
      </w:r>
      <w:proofErr w:type="spellStart"/>
      <w:r w:rsidR="002046A1" w:rsidRPr="002046A1">
        <w:t>NaOH</w:t>
      </w:r>
      <w:proofErr w:type="spellEnd"/>
      <w:r w:rsidR="002046A1" w:rsidRPr="002046A1">
        <w:t xml:space="preserve"> solution was 5.1× 10</w:t>
      </w:r>
      <w:r w:rsidR="002046A1" w:rsidRPr="002046A1">
        <w:rPr>
          <w:vertAlign w:val="superscript"/>
        </w:rPr>
        <w:t>-12</w:t>
      </w:r>
      <w:r w:rsidR="002046A1" w:rsidRPr="002046A1">
        <w:t> M H</w:t>
      </w:r>
      <w:r w:rsidR="002046A1" w:rsidRPr="002046A1">
        <w:rPr>
          <w:vertAlign w:val="superscript"/>
        </w:rPr>
        <w:t>+</w:t>
      </w:r>
      <w:r w:rsidR="002046A1" w:rsidRPr="002046A1">
        <w:t>. What is its pH?</w:t>
      </w:r>
    </w:p>
    <w:p w:rsidR="002046A1" w:rsidRPr="002046A1" w:rsidRDefault="002046A1" w:rsidP="002046A1">
      <w:r w:rsidRPr="002046A1">
        <w:rPr>
          <w:b/>
          <w:bCs/>
        </w:rPr>
        <w:t>Solution: </w:t>
      </w:r>
    </w:p>
    <w:p w:rsidR="002046A1" w:rsidRPr="002046A1" w:rsidRDefault="002046A1" w:rsidP="002046A1">
      <w:proofErr w:type="gramStart"/>
      <w:r w:rsidRPr="002046A1">
        <w:t>pH</w:t>
      </w:r>
      <w:proofErr w:type="gramEnd"/>
      <w:r w:rsidRPr="002046A1">
        <w:t xml:space="preserve"> = -log[H</w:t>
      </w:r>
      <w:r w:rsidRPr="002046A1">
        <w:rPr>
          <w:vertAlign w:val="superscript"/>
        </w:rPr>
        <w:t>+</w:t>
      </w:r>
      <w:r w:rsidRPr="002046A1">
        <w:t>]  =  -log(7.5 × 10</w:t>
      </w:r>
      <w:r w:rsidRPr="002046A1">
        <w:rPr>
          <w:vertAlign w:val="superscript"/>
        </w:rPr>
        <w:t>-12</w:t>
      </w:r>
      <w:r w:rsidRPr="002046A1">
        <w:t>) =  11.29</w:t>
      </w:r>
    </w:p>
    <w:p w:rsidR="002046A1" w:rsidRPr="002046A1" w:rsidRDefault="002046A1" w:rsidP="002046A1">
      <w:r w:rsidRPr="002046A1">
        <w:t> </w:t>
      </w:r>
    </w:p>
    <w:p w:rsidR="002046A1" w:rsidRPr="002046A1" w:rsidRDefault="002046A1" w:rsidP="002046A1">
      <w:r w:rsidRPr="002046A1">
        <w:t>We can convert from pH to [H</w:t>
      </w:r>
      <w:r w:rsidRPr="002046A1">
        <w:rPr>
          <w:vertAlign w:val="superscript"/>
        </w:rPr>
        <w:t>+</w:t>
      </w:r>
      <w:r w:rsidRPr="002046A1">
        <w:t>] and [OH</w:t>
      </w:r>
      <w:r w:rsidRPr="002046A1">
        <w:rPr>
          <w:vertAlign w:val="superscript"/>
        </w:rPr>
        <w:t>-</w:t>
      </w:r>
      <w:r w:rsidRPr="002046A1">
        <w:t>] using the following equations, as demonstrated in Examples 5 and 6.</w:t>
      </w:r>
    </w:p>
    <w:p w:rsidR="002046A1" w:rsidRPr="002046A1" w:rsidRDefault="002046A1" w:rsidP="002046A1">
      <w:r w:rsidRPr="002046A1">
        <w:t>[H</w:t>
      </w:r>
      <w:r w:rsidRPr="002046A1">
        <w:rPr>
          <w:vertAlign w:val="superscript"/>
        </w:rPr>
        <w:t>+</w:t>
      </w:r>
      <w:r w:rsidRPr="002046A1">
        <w:t>]  =</w:t>
      </w:r>
      <w:proofErr w:type="gramStart"/>
      <w:r w:rsidRPr="002046A1">
        <w:t>  10</w:t>
      </w:r>
      <w:proofErr w:type="gramEnd"/>
      <w:r w:rsidRPr="002046A1">
        <w:rPr>
          <w:vertAlign w:val="superscript"/>
        </w:rPr>
        <w:t>-pH</w:t>
      </w:r>
    </w:p>
    <w:p w:rsidR="002046A1" w:rsidRPr="002046A1" w:rsidRDefault="002046A1" w:rsidP="002046A1">
      <w:r w:rsidRPr="002046A1">
        <w:drawing>
          <wp:inline distT="0" distB="0" distL="0" distR="0" wp14:anchorId="31F46772" wp14:editId="08315636">
            <wp:extent cx="1073150" cy="463550"/>
            <wp:effectExtent l="0" t="0" r="0" b="0"/>
            <wp:docPr id="5" name="Picture 5" descr="http://preparatorychemistry.com/images/pH_web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reparatorychemistry.com/images/pH_web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150" cy="463550"/>
                    </a:xfrm>
                    <a:prstGeom prst="rect">
                      <a:avLst/>
                    </a:prstGeom>
                    <a:noFill/>
                    <a:ln>
                      <a:noFill/>
                    </a:ln>
                  </pic:spPr>
                </pic:pic>
              </a:graphicData>
            </a:graphic>
          </wp:inline>
        </w:drawing>
      </w:r>
    </w:p>
    <w:p w:rsidR="002046A1" w:rsidRPr="002046A1" w:rsidRDefault="002046A1" w:rsidP="002046A1">
      <w:r w:rsidRPr="002046A1">
        <w:t> </w:t>
      </w:r>
    </w:p>
    <w:p w:rsidR="002046A1" w:rsidRPr="002046A1" w:rsidRDefault="005C1F9E" w:rsidP="002046A1">
      <w:r>
        <w:rPr>
          <w:b/>
          <w:bCs/>
        </w:rPr>
        <w:t>EXAMPLE 3</w:t>
      </w:r>
      <w:r w:rsidR="002046A1" w:rsidRPr="002046A1">
        <w:t> – pH Calculations:  What is the [H</w:t>
      </w:r>
      <w:r w:rsidR="002046A1" w:rsidRPr="002046A1">
        <w:rPr>
          <w:vertAlign w:val="superscript"/>
        </w:rPr>
        <w:t>+</w:t>
      </w:r>
      <w:r w:rsidR="002046A1" w:rsidRPr="002046A1">
        <w:t>] in a glass of lemon juice with a pH of 2.12?</w:t>
      </w:r>
    </w:p>
    <w:p w:rsidR="002046A1" w:rsidRPr="002046A1" w:rsidRDefault="002046A1" w:rsidP="002046A1">
      <w:r w:rsidRPr="002046A1">
        <w:rPr>
          <w:b/>
          <w:bCs/>
        </w:rPr>
        <w:t>Solution:</w:t>
      </w:r>
    </w:p>
    <w:p w:rsidR="002046A1" w:rsidRPr="002046A1" w:rsidRDefault="002046A1" w:rsidP="002046A1">
      <w:r w:rsidRPr="002046A1">
        <w:t>[H</w:t>
      </w:r>
      <w:r w:rsidRPr="002046A1">
        <w:rPr>
          <w:vertAlign w:val="superscript"/>
        </w:rPr>
        <w:t>+</w:t>
      </w:r>
      <w:r w:rsidRPr="002046A1">
        <w:t>]  =</w:t>
      </w:r>
      <w:proofErr w:type="gramStart"/>
      <w:r w:rsidRPr="002046A1">
        <w:t>  10</w:t>
      </w:r>
      <w:proofErr w:type="gramEnd"/>
      <w:r w:rsidRPr="002046A1">
        <w:rPr>
          <w:vertAlign w:val="superscript"/>
        </w:rPr>
        <w:t>-pH</w:t>
      </w:r>
      <w:r w:rsidRPr="002046A1">
        <w:t>  =  10</w:t>
      </w:r>
      <w:r w:rsidRPr="002046A1">
        <w:rPr>
          <w:vertAlign w:val="superscript"/>
        </w:rPr>
        <w:t>-2.12</w:t>
      </w:r>
      <w:r w:rsidRPr="002046A1">
        <w:t>  =  7.6 × 10</w:t>
      </w:r>
      <w:r w:rsidRPr="002046A1">
        <w:rPr>
          <w:vertAlign w:val="superscript"/>
        </w:rPr>
        <w:t>-3</w:t>
      </w:r>
      <w:r w:rsidRPr="002046A1">
        <w:t> M H</w:t>
      </w:r>
      <w:r w:rsidRPr="002046A1">
        <w:rPr>
          <w:vertAlign w:val="superscript"/>
        </w:rPr>
        <w:t>+</w:t>
      </w:r>
    </w:p>
    <w:p w:rsidR="002046A1" w:rsidRPr="002046A1" w:rsidRDefault="002046A1" w:rsidP="002046A1">
      <w:r w:rsidRPr="002046A1">
        <w:t> </w:t>
      </w:r>
    </w:p>
    <w:p w:rsidR="002046A1" w:rsidRPr="002046A1" w:rsidRDefault="005C1F9E" w:rsidP="002046A1">
      <w:r>
        <w:rPr>
          <w:b/>
          <w:bCs/>
        </w:rPr>
        <w:t>EXAMPLE 4</w:t>
      </w:r>
      <w:proofErr w:type="gramStart"/>
      <w:r w:rsidR="002046A1" w:rsidRPr="002046A1">
        <w:t>  –</w:t>
      </w:r>
      <w:proofErr w:type="gramEnd"/>
      <w:r w:rsidR="002046A1" w:rsidRPr="002046A1">
        <w:t xml:space="preserve"> pH Calculations: What is the [OH</w:t>
      </w:r>
      <w:r w:rsidR="002046A1" w:rsidRPr="002046A1">
        <w:rPr>
          <w:vertAlign w:val="superscript"/>
        </w:rPr>
        <w:t>-</w:t>
      </w:r>
      <w:r w:rsidR="002046A1" w:rsidRPr="002046A1">
        <w:t>] in a container of household ammonia at 25 °C with a pH of 11.900?</w:t>
      </w:r>
    </w:p>
    <w:p w:rsidR="002046A1" w:rsidRPr="002046A1" w:rsidRDefault="002046A1" w:rsidP="002046A1">
      <w:r w:rsidRPr="002046A1">
        <w:rPr>
          <w:b/>
          <w:bCs/>
        </w:rPr>
        <w:t>Solution: </w:t>
      </w:r>
    </w:p>
    <w:p w:rsidR="002046A1" w:rsidRPr="002046A1" w:rsidRDefault="002046A1" w:rsidP="002046A1">
      <w:r w:rsidRPr="002046A1">
        <w:t>[H</w:t>
      </w:r>
      <w:r w:rsidRPr="002046A1">
        <w:rPr>
          <w:vertAlign w:val="superscript"/>
        </w:rPr>
        <w:t>+</w:t>
      </w:r>
      <w:r w:rsidRPr="002046A1">
        <w:t>]  =</w:t>
      </w:r>
      <w:proofErr w:type="gramStart"/>
      <w:r w:rsidRPr="002046A1">
        <w:t>  10</w:t>
      </w:r>
      <w:proofErr w:type="gramEnd"/>
      <w:r w:rsidRPr="002046A1">
        <w:rPr>
          <w:vertAlign w:val="superscript"/>
        </w:rPr>
        <w:t>-pH</w:t>
      </w:r>
      <w:r w:rsidRPr="002046A1">
        <w:t>  =  10-11.900  =  1.26 × 10</w:t>
      </w:r>
      <w:r w:rsidRPr="002046A1">
        <w:rPr>
          <w:vertAlign w:val="superscript"/>
        </w:rPr>
        <w:t>-12</w:t>
      </w:r>
      <w:r w:rsidRPr="002046A1">
        <w:t> M H</w:t>
      </w:r>
      <w:r w:rsidRPr="002046A1">
        <w:rPr>
          <w:vertAlign w:val="superscript"/>
        </w:rPr>
        <w:t>+</w:t>
      </w:r>
    </w:p>
    <w:p w:rsidR="002046A1" w:rsidRPr="002046A1" w:rsidRDefault="002046A1" w:rsidP="002046A1">
      <w:r w:rsidRPr="002046A1">
        <w:drawing>
          <wp:inline distT="0" distB="0" distL="0" distR="0" wp14:anchorId="67C50844" wp14:editId="0CDB10D1">
            <wp:extent cx="3981450" cy="527050"/>
            <wp:effectExtent l="0" t="0" r="0" b="6350"/>
            <wp:docPr id="6" name="Picture 6" descr="http://preparatorychemistry.com/images/pH_web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reparatorychemistry.com/images/pH_web_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527050"/>
                    </a:xfrm>
                    <a:prstGeom prst="rect">
                      <a:avLst/>
                    </a:prstGeom>
                    <a:noFill/>
                    <a:ln>
                      <a:noFill/>
                    </a:ln>
                  </pic:spPr>
                </pic:pic>
              </a:graphicData>
            </a:graphic>
          </wp:inline>
        </w:drawing>
      </w:r>
    </w:p>
    <w:tbl>
      <w:tblPr>
        <w:tblW w:w="14400" w:type="dxa"/>
        <w:shd w:val="clear" w:color="auto" w:fill="FFFFFF"/>
        <w:tblCellMar>
          <w:left w:w="0" w:type="dxa"/>
          <w:right w:w="0" w:type="dxa"/>
        </w:tblCellMar>
        <w:tblLook w:val="04A0" w:firstRow="1" w:lastRow="0" w:firstColumn="1" w:lastColumn="0" w:noHBand="0" w:noVBand="1"/>
      </w:tblPr>
      <w:tblGrid>
        <w:gridCol w:w="7200"/>
        <w:gridCol w:w="7200"/>
      </w:tblGrid>
      <w:tr w:rsidR="002046A1" w:rsidRPr="002046A1" w:rsidTr="00F23820">
        <w:tc>
          <w:tcPr>
            <w:tcW w:w="0" w:type="auto"/>
            <w:tcBorders>
              <w:top w:val="nil"/>
              <w:left w:val="nil"/>
              <w:bottom w:val="nil"/>
              <w:right w:val="nil"/>
            </w:tcBorders>
            <w:shd w:val="clear" w:color="auto" w:fill="auto"/>
            <w:hideMark/>
          </w:tcPr>
          <w:p w:rsidR="002046A1" w:rsidRPr="002046A1" w:rsidRDefault="002046A1" w:rsidP="002046A1"/>
        </w:tc>
        <w:tc>
          <w:tcPr>
            <w:tcW w:w="7200" w:type="dxa"/>
            <w:tcBorders>
              <w:top w:val="nil"/>
              <w:left w:val="nil"/>
              <w:bottom w:val="nil"/>
              <w:right w:val="nil"/>
            </w:tcBorders>
            <w:shd w:val="clear" w:color="auto" w:fill="auto"/>
            <w:hideMark/>
          </w:tcPr>
          <w:p w:rsidR="002046A1" w:rsidRPr="002046A1" w:rsidRDefault="002046A1" w:rsidP="002046A1">
            <w:r w:rsidRPr="002046A1">
              <w:t> </w:t>
            </w:r>
          </w:p>
        </w:tc>
      </w:tr>
    </w:tbl>
    <w:p w:rsidR="006B5611" w:rsidRDefault="006B5611"/>
    <w:sectPr w:rsidR="006B5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E0AA7"/>
    <w:multiLevelType w:val="multilevel"/>
    <w:tmpl w:val="B360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AC37E1"/>
    <w:multiLevelType w:val="multilevel"/>
    <w:tmpl w:val="DF6E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A1"/>
    <w:rsid w:val="001D5DB8"/>
    <w:rsid w:val="002046A1"/>
    <w:rsid w:val="0041180B"/>
    <w:rsid w:val="005C1F9E"/>
    <w:rsid w:val="006B5611"/>
    <w:rsid w:val="0093358D"/>
    <w:rsid w:val="00B23818"/>
    <w:rsid w:val="00DA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16E26-F4E1-4232-8F01-FDED1FE5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1</cp:revision>
  <dcterms:created xsi:type="dcterms:W3CDTF">2016-01-10T19:10:00Z</dcterms:created>
  <dcterms:modified xsi:type="dcterms:W3CDTF">2016-01-10T20:28:00Z</dcterms:modified>
</cp:coreProperties>
</file>